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68d2dbc9945184642a2584d7b57c4a05c80ca"/>
    <w:p>
      <w:pPr>
        <w:pStyle w:val="Heading1"/>
      </w:pPr>
      <w:r>
        <w:t xml:space="preserve">Participation: the complete thirteen-page philosophical atlas</w:t>
      </w:r>
    </w:p>
    <w:p>
      <w:pPr>
        <w:pStyle w:val="FirstParagraph"/>
      </w:pPr>
      <w:r>
        <w:t xml:space="preserve">October 14, 2026. Includes all thirteen main research reports and their core questions and answers. Historical verification and conditional philosophical claims retain their stated limits.</w:t>
      </w:r>
    </w:p>
    <w:bookmarkEnd w:id="20"/>
    <w:bookmarkStart w:id="78" w:name="Xa612323840c2542eae9bcd30d8c3bee9886bbd6"/>
    <w:p>
      <w:pPr>
        <w:pStyle w:val="Heading1"/>
      </w:pPr>
      <w:r>
        <w:t xml:space="preserve">Minimal Generative Grammar of Participation</w:t>
      </w:r>
    </w:p>
    <w:p>
      <w:pPr>
        <w:pStyle w:val="FirstParagraph"/>
      </w:pPr>
      <w:r>
        <w:rPr>
          <w:b/>
          <w:bCs/>
        </w:rPr>
        <w:t xml:space="preserve">Constructive research synthesis — provisional historical verification.</w:t>
      </w:r>
      <w:r>
        <w:t xml:space="preserve"> </w:t>
      </w:r>
      <w:r>
        <w:t xml:space="preserve">The main argument is self-contained; the linked dossiers provide historical and formal depth. This is not defined doctrine, a complete critical-edition survey, a proof of God’s existence, or a proof of global minimality.</w:t>
      </w:r>
    </w:p>
    <w:bookmarkStart w:id="23" w:name="what-this-page-is"/>
    <w:p>
      <w:pPr>
        <w:pStyle w:val="Heading2"/>
      </w:pPr>
      <w:r>
        <w:t xml:space="preserve">00 / What this page is</w:t>
      </w:r>
    </w:p>
    <w:bookmarkStart w:id="21" w:name="Xf5df08ae54450661e1e5b1efab3be0044c38419"/>
    <w:p>
      <w:pPr>
        <w:pStyle w:val="Heading3"/>
      </w:pPr>
      <w:r>
        <w:t xml:space="preserve">A constructive reconstruction of participation metaphysics</w:t>
      </w:r>
    </w:p>
    <w:p>
      <w:pPr>
        <w:pStyle w:val="FirstParagraph"/>
      </w:pPr>
      <w:r>
        <w:t xml:space="preserve">This page asks a deliberately narrow question: what is the smallest honest metaphysical grammar needed to explain how a finite creature can be from God, genuinely like God, and yet remain genuinely other than God?</w:t>
      </w:r>
    </w:p>
    <w:p>
      <w:pPr>
        <w:pStyle w:val="BodyText"/>
      </w:pPr>
      <w:r>
        <w:t xml:space="preserve">A creature can receive its life and genuinely live it. A power can be given and genuinely belong to the one who exercises it. Christian participation metaphysics begins with that conjunction: real possession without independence. Created being, goodness, life, intelligibility, and power come from God, yet creatures are not pieces of God. Their actuality is received according to their own modes; the divine source is neither divided among them nor completed by them.</w:t>
      </w:r>
    </w:p>
    <w:p>
      <w:pPr>
        <w:pStyle w:val="BodyText"/>
      </w:pPr>
      <w:r>
        <w:t xml:space="preserve">The problem is to explain this conjunction rather than repeat it. Participation, analogy, exemplarism, procession, likeness, and return often carry several claims together. This inquiry separates them: what makes a creature actual, what it depends upon, what it genuinely possesses, what it consists of, what it can express, and what would fulfill it. It then asks what warrants each passage. Participation is the connective relation, not a substitute for those arguments.</w:t>
      </w:r>
    </w:p>
    <w:p>
      <w:pPr>
        <w:pStyle w:val="BodyText"/>
      </w:pPr>
      <w:r>
        <w:t xml:space="preserve">The initial hypothesis was that actuality, received dependence, and measure might be sufficient. The proposed reconstruction needs more. Dependence alone does not establish likeness. Underivation excludes proper intrinsic constituents only when composition entails dependence. A finite effect’s inability to exhaust an unlimited source does not establish that the source was free not to produce it. Identifying these missing bridges makes the account stronger: every conclusion receives its own reason rather than borrowing the force of another.</w:t>
      </w:r>
    </w:p>
    <w:p>
      <w:pPr>
        <w:pStyle w:val="BodyText"/>
      </w:pPr>
      <w:r>
        <w:t xml:space="preserve">The resulting grammar is</w:t>
      </w:r>
      <w:r>
        <w:t xml:space="preserve"> </w:t>
      </w:r>
      <w:r>
        <w:t xml:space="preserve">“</w:t>
      </w:r>
      <w:r>
        <w:t xml:space="preserve">minimal</w:t>
      </w:r>
      <w:r>
        <w:t xml:space="preserve">”</w:t>
      </w:r>
      <w:r>
        <w:t xml:space="preserve"> </w:t>
      </w:r>
      <w:r>
        <w:t xml:space="preserve">within its stated language and assumptions. Combining many axioms into one enormous axiom would shorten the list without shortening the argument. Each retained premise must contribute something the others do not supply. Removing a premise and testing rival models therefore play a central role. If likeness disappears when causal adequacy is removed, causation was never enough to establish likeness. If noncomposition disappears when the principle connecting constitution to dependence is removed, underivation was never secretly simplicity. If freedom disappears while non-exhaustion remains, inexhaustibility was never secretly freedom.</w:t>
      </w:r>
    </w:p>
    <w:p>
      <w:pPr>
        <w:pStyle w:val="BodyText"/>
      </w:pPr>
      <w:r>
        <w:t xml:space="preserve">The historical tradition is used in the same disciplined way. Plato, Gregory of Nyssa, Augustine, Dionysius, Maximus, Eriugena, Anselm, Bonaventure, Aquinas, Scotus, Przywara, and others are not treated as teaching one identical hidden system. They offer overlapping solutions to recurring problems: participation without partition, likeness without identity, causal intimacy without constitution, transcendence without distance, manifestation without exhaustion, and dependence without rivalry. The constructive synthesis belongs to this project, even where its elements are deeply rooted in the tradition. Newman’s account of development is used only analogically, as a test of whether the synthesis preserves rather than reverses the tradition’s central achievements.</w:t>
      </w:r>
    </w:p>
    <w:p>
      <w:pPr>
        <w:pStyle w:val="BodyText"/>
      </w:pPr>
      <w:r>
        <w:t xml:space="preserve">As a Christian interpretation, the project preserves Creator–creature distinction, creation without divine material, divine sufficiency, real creaturely goodness, and real divine causality. Philosophy asks how these commitments can be articulated coherently and which arguments support them. Revelation supplies further determinations: ordinary participation in created being does not by itself establish grace, the Trinity, the Incarnation, or beatific communion.</w:t>
      </w:r>
    </w:p>
    <w:p>
      <w:pPr>
        <w:pStyle w:val="BodyText"/>
      </w:pPr>
      <w:r>
        <w:rPr>
          <w:b/>
          <w:bCs/>
        </w:rPr>
        <w:t xml:space="preserve">The methodological rule:</w:t>
      </w:r>
      <w:r>
        <w:t xml:space="preserve"> </w:t>
      </w:r>
      <w:r>
        <w:t xml:space="preserve">Keep the categories apart long enough to discover why they belong together.</w:t>
      </w:r>
    </w:p>
    <w:p>
      <w:pPr>
        <w:pStyle w:val="BodyText"/>
      </w:pPr>
      <w:r>
        <w:t xml:space="preserve">Given the stated source and causal principles, a finite being can genuinely possess received actuality and express its source according to its own mode, while the source remains undivided and uncompleted. Dependence explains the gift; it does not make the recipient’s life less real.</w:t>
      </w:r>
    </w:p>
    <w:p>
      <w:pPr>
        <w:pStyle w:val="BodyText"/>
      </w:pPr>
      <w:r>
        <w:rPr>
          <w:b/>
          <w:bCs/>
        </w:rPr>
        <w:t xml:space="preserve">The receiver’s measure measures the reception. It does not measure the source.</w:t>
      </w:r>
    </w:p>
    <w:bookmarkEnd w:id="21"/>
    <w:bookmarkStart w:id="22" w:name="the-next-open-question"/>
    <w:p>
      <w:pPr>
        <w:pStyle w:val="Heading3"/>
      </w:pPr>
      <w:r>
        <w:t xml:space="preserve">The next open question</w:t>
      </w:r>
    </w:p>
    <w:p>
      <w:pPr>
        <w:pStyle w:val="FirstParagraph"/>
      </w:pPr>
      <w:r>
        <w:t xml:space="preserve">The next question concerns divine agency: how can God freely and knowingly create this world rather than another without acquiring an intrinsic determination? This reconstruction already excludes proper intrinsic constituents, given an underived source and the principle that a whole depends on such constituents. It does not establish every stronger account of divine simplicity or explain free creative action. Further work must defend the relevant principles and explain how divine action has a determinate intention and how God knows it, without building freedom or knowledge into their definitions.</w:t>
      </w:r>
    </w:p>
    <w:p>
      <w:pPr>
        <w:pStyle w:val="BodyText"/>
      </w:pPr>
      <w:r>
        <w:t xml:space="preserve">A constructive proposal with conditional derivations and provisional historical verification; not a proof of global minimality or a definition of doctrine.</w:t>
      </w:r>
    </w:p>
    <w:p>
      <w:pPr>
        <w:pStyle w:val="BodyText"/>
      </w:pPr>
      <w:r>
        <w:rPr>
          <w:b/>
          <w:bCs/>
        </w:rPr>
        <w:t xml:space="preserve">How to read this page:</w:t>
      </w:r>
      <w:r>
        <w:t xml:space="preserve"> </w:t>
      </w:r>
      <w:r>
        <w:t xml:space="preserve">Begin with received possession and the positive meaning of finite measure. Then read the basis and derivations, and use the deletion lab to test each premise. The genealogy and source ledger distinguish historical resources from this project’s constructive proposals.</w:t>
      </w:r>
    </w:p>
    <w:bookmarkEnd w:id="22"/>
    <w:bookmarkEnd w:id="23"/>
    <w:bookmarkStart w:id="29" w:name="participation-as-real-possession"/>
    <w:p>
      <w:pPr>
        <w:pStyle w:val="Heading2"/>
      </w:pPr>
      <w:r>
        <w:t xml:space="preserve">Participation as real possession</w:t>
      </w:r>
    </w:p>
    <w:bookmarkStart w:id="24" w:name="Xa3e00fc19199bcce50dcca2843fc67b268668c2"/>
    <w:p>
      <w:pPr>
        <w:pStyle w:val="Heading3"/>
      </w:pPr>
      <w:r>
        <w:t xml:space="preserve">A received life is genuinely the creature’s life</w:t>
      </w:r>
    </w:p>
    <w:p>
      <w:pPr>
        <w:pStyle w:val="FirstParagraph"/>
      </w:pPr>
      <w:r>
        <w:t xml:space="preserve">Participation means real, dependent possession of received actuality or perfection according to the participant’s mode. Real possession matters as much as dependence: the creature actually lives, understands, and acts. What comes from a source is realized in the recipient; it is not merely a description of the source projected onto an otherwise empty appearance. Dependence concerns why the perfection obtains. Possession concerns where and how it obtains. These questions can have different answers without contradiction.</w:t>
      </w:r>
    </w:p>
    <w:p>
      <w:pPr>
        <w:pStyle w:val="BodyText"/>
      </w:pPr>
      <w:r>
        <w:t xml:space="preserve">Receiving a power does not yet amount to exercising it. To establish genuine creaturely action, add a further principle: some received powers are productive powers of the creature itself, whose exercise remains sustained by God. Divine causality and creaturely causality then explain one event in different respects. The creature’s dependence does not erase its authorship. An occasionalist rival denies this further principle, so real secondary agency must be defended rather than extracted from the word participation.</w:t>
      </w:r>
    </w:p>
    <w:bookmarkEnd w:id="24"/>
    <w:bookmarkStart w:id="25" w:name="X3b79179a33f2f61a6186aa4d4830b778f902a29"/>
    <w:p>
      <w:pPr>
        <w:pStyle w:val="Heading3"/>
      </w:pPr>
      <w:r>
        <w:t xml:space="preserve">Expression needs intelligible correspondence</w:t>
      </w:r>
    </w:p>
    <w:p>
      <w:pPr>
        <w:pStyle w:val="FirstParagraph"/>
      </w:pPr>
      <w:r>
        <w:t xml:space="preserve">An effect can disclose its source because the relation connects what is realized in the effect with something true of that source. Mere production does not establish every proposed attribution. A machine can print meaningful words without understanding them. An artisan can shape stone without being stone. An effect may therefore establish causal capacity while leaving intrinsic perfection, intention, or personal character undecided.</w:t>
      </w:r>
    </w:p>
    <w:p>
      <w:pPr>
        <w:pStyle w:val="BodyText"/>
      </w:pPr>
      <w:r>
        <w:t xml:space="preserve">The positive bridge proposed here is stronger: a genuine perfection in a derivative effect has an adequate ultimate source in which the corresponding positive content genuinely obtains, though not necessarily under the effect’s received mode. This is Q, the causal-adequacy principle. It requires an account of the positive content, not just the claim that the source can cause it. Exemplarism and the tradition of the logoi offer historical accounts of this source-related intelligibility. Their exact metaphysical commitments still require comparison.</w:t>
      </w:r>
    </w:p>
    <w:p>
      <w:pPr>
        <w:pStyle w:val="BodyText"/>
      </w:pPr>
      <w:r>
        <w:t xml:space="preserve">Under Q, participation can become objective expression even when nobody recognizes it. Recognition is another achievement: knowledge requires a truth-conducive relation and warranted uptake. Thus causal origin, expressive likeness, and warranted knowledge remain distinct. This lets the account affirm genuine manifestation while identifying exactly what a finite effect permits us to say.</w:t>
      </w:r>
    </w:p>
    <w:bookmarkEnd w:id="25"/>
    <w:bookmarkStart w:id="26" w:name="Xdfc8e9b12f2385346fd26d8ecefe382095e3b14"/>
    <w:p>
      <w:pPr>
        <w:pStyle w:val="Heading3"/>
      </w:pPr>
      <w:r>
        <w:t xml:space="preserve">Finite measure can help constitute a good</w:t>
      </w:r>
    </w:p>
    <w:p>
      <w:pPr>
        <w:pStyle w:val="FirstParagraph"/>
      </w:pPr>
      <w:r>
        <w:t xml:space="preserve">Finite reception does not exhaust an unlimited source. Yet finitude is not a single defect to be removed from every creaturely good. Three cases matter. A privation, such as ignorance, impedes an appropriate good. A constitutive finite condition helps make a particular good what it is: a melody needs succession, and a promise needs a history in which fidelity can be enacted. Removing distortion can improve the same melody; sounding every note at once abolishes it.</w:t>
      </w:r>
    </w:p>
    <w:p>
      <w:pPr>
        <w:pStyle w:val="BodyText"/>
      </w:pPr>
      <w:r>
        <w:t xml:space="preserve">An adverse occasion is different again. Courage can be good in danger, and forgiveness can be good after injury. The goodness of the response neither makes the threat or injury good nor justifies causing it. A theory of fulfillment must preserve the response’s positive actuality while refusing to manufacture a justification of evil from it.</w:t>
      </w:r>
    </w:p>
    <w:p>
      <w:pPr>
        <w:pStyle w:val="BodyText"/>
      </w:pPr>
      <w:r>
        <w:t xml:space="preserve">God can ground the positive reality of learning without learning, and the good of courage without undergoing danger. The entire finite description need not be transferred to its source. Likewise, finite knowledge need not be false or vague. A finite proposition can state something exactly true without reproducing the whole actuality of its object. The measure comparison in this model concerns finite reception of actuality; it is not a proof that every finite statement is inadequate.</w:t>
      </w:r>
    </w:p>
    <w:bookmarkEnd w:id="26"/>
    <w:bookmarkStart w:id="28" w:name="fulfillment-preserves-the-participant"/>
    <w:p>
      <w:pPr>
        <w:pStyle w:val="Heading3"/>
      </w:pPr>
      <w:r>
        <w:t xml:space="preserve">Fulfillment preserves the participant</w:t>
      </w:r>
    </w:p>
    <w:p>
      <w:pPr>
        <w:pStyle w:val="FirstParagraph"/>
      </w:pPr>
      <w:r>
        <w:t xml:space="preserve">Origin answers why a participant is; fulfillment asks what would perfect it. The second question requires an account of the subject’s good. Participation becomes ordered toward fulfillment when received powers can attain fitting ends, rather than merely continue to exist. Knowledge, fidelity, friendship, and love can then be real creaturely achievements. Their dependence on God does not relocate their history inside God or make them stages in divine self-completion.</w:t>
      </w:r>
    </w:p>
    <w:p>
      <w:pPr>
        <w:pStyle w:val="BodyText"/>
      </w:pPr>
      <w:r>
        <w:t xml:space="preserve">Communion adds more than resemblance or causal contact: distinct persons know and love one another. Its reality requires their difference to endure. The Christian account of grace and beatific vision therefore extends the natural grammar with revealed commitments. It promises God himself, not merely a created substitute, while preserving the creature’s finite act of reception. Finite measure need not mean distance, and immediacy need not mean exhaustive comprehension. Return is the participant’s fulfillment without absorption into its source.</w:t>
      </w:r>
    </w:p>
    <w:p>
      <w:pPr>
        <w:pStyle w:val="BodyText"/>
      </w:pPr>
      <w:r>
        <w:t xml:space="preserve">The five working engines are analytical jobs: determination and realization; dependence and origin; possibility and agency; manifestation and measure; goodness and fulfillment. They help audit the argument and are not the five primitive groups of the formal model. See the</w:t>
      </w:r>
      <w:r>
        <w:t xml:space="preserve"> </w:t>
      </w:r>
      <w:hyperlink r:id="rId27">
        <w:r>
          <w:rPr>
            <w:rStyle w:val="Hyperlink"/>
          </w:rPr>
          <w:t xml:space="preserve">shared reading guide</w:t>
        </w:r>
      </w:hyperlink>
      <w:r>
        <w:t xml:space="preserve">.</w:t>
      </w:r>
    </w:p>
    <w:bookmarkEnd w:id="28"/>
    <w:bookmarkEnd w:id="29"/>
    <w:bookmarkStart w:id="30" w:name="the-result"/>
    <w:p>
      <w:pPr>
        <w:pStyle w:val="Heading2"/>
      </w:pPr>
      <w:r>
        <w:t xml:space="preserve">The result</w:t>
      </w:r>
    </w:p>
    <w:p>
      <w:pPr>
        <w:pStyle w:val="FirstParagraph"/>
      </w:pPr>
      <w:r>
        <w:t xml:space="preserve">The proposed basis of actuality + received dependence + measure is insufficient. A dependence graph has no qualitative likeness or constitution information. Underivation does not imply infinity; non-exhaustion does not imply contingency. The source–creature distinction can instead be generated conditionally from sourced actuality and underivation, while nonpartition requires separate constitution bridges.</w:t>
      </w:r>
    </w:p>
    <w:p>
      <w:pPr>
        <w:pStyle w:val="BodyText"/>
      </w:pPr>
      <w:r>
        <w:t xml:space="preserve">The smallest</w:t>
      </w:r>
      <w:r>
        <w:t xml:space="preserve"> </w:t>
      </w:r>
      <w:r>
        <w:rPr>
          <w:i/>
          <w:iCs/>
        </w:rPr>
        <w:t xml:space="preserve">proposed</w:t>
      </w:r>
      <w:r>
        <w:t xml:space="preserve"> </w:t>
      </w:r>
      <w:r>
        <w:t xml:space="preserve">basis here is five information-bearing families and nine substantive clauses, relative to disclosed background semantics. Nine is not a count of every assumption. An absolute smallest list is not established: predicates can encode each other and axioms can be conjoined. The actual result is an irredundant reconstruction in a fixed language, with explicit extensions and countermodels.</w:t>
      </w:r>
    </w:p>
    <w:bookmarkEnd w:id="30"/>
    <w:bookmarkStart w:id="31" w:name="primitive-notions"/>
    <w:p>
      <w:pPr>
        <w:pStyle w:val="Heading2"/>
      </w:pPr>
      <w:r>
        <w:t xml:space="preserve">1. Primitive notions</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Notation</w:t>
            </w:r>
          </w:p>
        </w:tc>
        <w:tc>
          <w:tcPr/>
          <w:p>
            <w:pPr>
              <w:pStyle w:val="Compact"/>
              <w:jc w:val="left"/>
            </w:pPr>
            <w:r>
              <w:t xml:space="preserve">Information retained</w:t>
            </w:r>
          </w:p>
        </w:tc>
        <w:tc>
          <w:tcPr/>
          <w:p>
            <w:pPr>
              <w:pStyle w:val="Compact"/>
              <w:jc w:val="left"/>
            </w:pPr>
            <w:r>
              <w:t xml:space="preserve">Interpretation</w:t>
            </w:r>
          </w:p>
        </w:tc>
      </w:tr>
      <w:tr>
        <w:tc>
          <w:tcPr/>
          <w:p>
            <w:pPr>
              <w:pStyle w:val="Compact"/>
              <w:jc w:val="left"/>
            </w:pPr>
            <w:r>
              <w:t xml:space="preserve">Cᵥ(y,x,q)</w:t>
            </w:r>
          </w:p>
        </w:tc>
        <w:tc>
          <w:tcPr/>
          <w:p>
            <w:pPr>
              <w:pStyle w:val="Compact"/>
              <w:jc w:val="left"/>
            </w:pPr>
            <w:r>
              <w:t xml:space="preserve">Productive causation</w:t>
            </w:r>
          </w:p>
        </w:tc>
        <w:tc>
          <w:tcPr/>
          <w:p>
            <w:pPr>
              <w:pStyle w:val="Compact"/>
              <w:jc w:val="left"/>
            </w:pPr>
            <w:r>
              <w:t xml:space="preserve">y produces or sustains a real perfection q in x. Causing something remains distinct from being a constituent of it.</w:t>
            </w:r>
          </w:p>
        </w:tc>
      </w:tr>
      <w:tr>
        <w:tc>
          <w:tcPr/>
          <w:p>
            <w:pPr>
              <w:pStyle w:val="Compact"/>
              <w:jc w:val="left"/>
            </w:pPr>
            <w:r>
              <w:t xml:space="preserve">Dᵥ(x,y,r)</w:t>
            </w:r>
          </w:p>
        </w:tc>
        <w:tc>
          <w:tcPr/>
          <w:p>
            <w:pPr>
              <w:pStyle w:val="Compact"/>
              <w:jc w:val="left"/>
            </w:pPr>
            <w:r>
              <w:t xml:space="preserve">Ontological dependence</w:t>
            </w:r>
          </w:p>
        </w:tc>
        <w:tc>
          <w:tcPr/>
          <w:p>
            <w:pPr>
              <w:pStyle w:val="Compact"/>
              <w:jc w:val="left"/>
            </w:pPr>
            <w:r>
              <w:t xml:space="preserve">x depends on y for its actuality in respect r. This concerns what sustains or explains x, rather than merely what would happen if y were absent.</w:t>
            </w:r>
          </w:p>
        </w:tc>
      </w:tr>
      <w:tr>
        <w:tc>
          <w:tcPr/>
          <w:p>
            <w:pPr>
              <w:pStyle w:val="Compact"/>
              <w:jc w:val="left"/>
            </w:pPr>
            <w:r>
              <w:t xml:space="preserve">Hᵥ(x,q,m)</w:t>
            </w:r>
          </w:p>
        </w:tc>
        <w:tc>
          <w:tcPr/>
          <w:p>
            <w:pPr>
              <w:pStyle w:val="Compact"/>
              <w:jc w:val="left"/>
            </w:pPr>
            <w:r>
              <w:t xml:space="preserve">Qualitative realization</w:t>
            </w:r>
          </w:p>
        </w:tc>
        <w:tc>
          <w:tcPr/>
          <w:p>
            <w:pPr>
              <w:pStyle w:val="Compact"/>
              <w:jc w:val="left"/>
            </w:pPr>
            <w:r>
              <w:t xml:space="preserve">x really possesses a candidate positive perfection-content q in mode m. Selecting that content requires independent warrant; a complete finite-kind description is not automatically a pure perfection. Corresponding content does not mean a shared entity or genus.</w:t>
            </w:r>
          </w:p>
        </w:tc>
      </w:tr>
      <w:tr>
        <w:tc>
          <w:tcPr/>
          <w:p>
            <w:pPr>
              <w:pStyle w:val="Compact"/>
              <w:jc w:val="left"/>
            </w:pPr>
            <w:r>
              <w:t xml:space="preserve">Kᵥ(z,x)</w:t>
            </w:r>
          </w:p>
        </w:tc>
        <w:tc>
          <w:tcPr/>
          <w:p>
            <w:pPr>
              <w:pStyle w:val="Compact"/>
              <w:jc w:val="left"/>
            </w:pPr>
            <w:r>
              <w:t xml:space="preserve">Intrinsic constituency</w:t>
            </w:r>
          </w:p>
        </w:tc>
        <w:tc>
          <w:tcPr/>
          <w:p>
            <w:pPr>
              <w:pStyle w:val="Compact"/>
              <w:jc w:val="left"/>
            </w:pPr>
            <w:r>
              <w:t xml:space="preserve">z is a proper part or constituting principle within x. This distinguishes what x consists of from what causes it.</w:t>
            </w:r>
          </w:p>
        </w:tc>
      </w:tr>
      <w:tr>
        <w:tc>
          <w:tcPr/>
          <w:p>
            <w:pPr>
              <w:pStyle w:val="Compact"/>
              <w:jc w:val="left"/>
            </w:pPr>
            <w:r>
              <w:t xml:space="preserve">Jᵥ(x)</w:t>
            </w:r>
          </w:p>
        </w:tc>
        <w:tc>
          <w:tcPr/>
          <w:p>
            <w:pPr>
              <w:pStyle w:val="Compact"/>
              <w:jc w:val="left"/>
            </w:pPr>
            <w:r>
              <w:t xml:space="preserve">Intrinsic actuality</w:t>
            </w:r>
          </w:p>
        </w:tc>
        <w:tc>
          <w:tcPr/>
          <w:p>
            <w:pPr>
              <w:pStyle w:val="Compact"/>
              <w:jc w:val="left"/>
            </w:pPr>
            <w:r>
              <w:t xml:space="preserve">What x is in itself in possible situation w. This lets us ask whether different effects require a change within their source.</w:t>
            </w:r>
          </w:p>
        </w:tc>
      </w:tr>
    </w:tbl>
    <w:p>
      <w:pPr>
        <w:pStyle w:val="BodyText"/>
      </w:pPr>
      <w:r>
        <w:t xml:space="preserve">Actuality is semantically primitive in real realization H, rather than an extra independently irreducible A. Define A(x) as ∃m H(x,e,m), where e indexes existential actuality. Define μₑ(x) as its complete mode. J records intrinsic facts not assumed exhausted by the selected H/K facts; if those were made exhaustive, J could be eliminated. Consequently five is a proposed operational vocabulary, not a demonstrated lower bound.</w:t>
      </w:r>
    </w:p>
    <w:p>
      <w:pPr>
        <w:pStyle w:val="BodyText"/>
      </w:pPr>
      <w:r>
        <w:t xml:space="preserve">Identity, typed quantification, world indexing, qualitative indices, and a mode order are also needed. C and D are factive; every H-bearer is actual; modes are functional per subject/respect; proper K is actual, irreflexive, and transitive. Bounded modes lie below ∞. These substantive background assumptions are disclosed. ∞ signifies no finite upper bound, not a quantity of divine substance.</w:t>
      </w:r>
    </w:p>
    <w:p>
      <w:pPr>
        <w:pStyle w:val="BodyText"/>
      </w:pPr>
      <w:r>
        <w:t xml:space="preserve">The system is conditional on actual source g and scopes entities to created beings/principles and their proposed source. It does not treat divine hypostases as extra created beings or adjudicate Trinity, incarnation, or grace. The system neither proves source existence nor derives its necessity.</w:t>
      </w:r>
    </w:p>
    <w:p>
      <w:pPr>
        <w:pStyle w:val="BodyText"/>
      </w:pPr>
      <w:r>
        <w:t xml:space="preserve">Qualitative q is a semantic index, not an independent Form. Its positive content must be independently warranted. A candidate criterion is that the content does not entail deficiency or a finite constitutive mode: knowing as opposed to acquiring information discursively, actuality as opposed to being-created. This criterion needs case-by-case argument;</w:t>
      </w:r>
      <w:r>
        <w:t xml:space="preserve"> </w:t>
      </w:r>
      <w:r>
        <w:t xml:space="preserve">“</w:t>
      </w:r>
      <w:r>
        <w:t xml:space="preserve">whatever God causes</w:t>
      </w:r>
      <w:r>
        <w:t xml:space="preserve">”</w:t>
      </w:r>
      <w:r>
        <w:t xml:space="preserve"> </w:t>
      </w:r>
      <w:r>
        <w:t xml:space="preserve">is not an admissible definition. Some finite conditions constitute genuine particular goods: succession belongs to melody, and a history belongs to keeping a promise. Q therefore concerns a defended positive perfection-content, not the wholesale transfer of every complete finite-kind description into God. Biological life and divine life cannot be equated by using one symbol. H-source interpretation must not mean merely</w:t>
      </w:r>
      <w:r>
        <w:t xml:space="preserve"> </w:t>
      </w:r>
      <w:r>
        <w:t xml:space="preserve">“</w:t>
      </w:r>
      <w:r>
        <w:t xml:space="preserve">able to cause H.</w:t>
      </w:r>
      <w:r>
        <w:t xml:space="preserve">”</w:t>
      </w:r>
    </w:p>
    <w:bookmarkEnd w:id="31"/>
    <w:bookmarkStart w:id="32" w:name="independent-clauses-and-bridges"/>
    <w:p>
      <w:pPr>
        <w:pStyle w:val="Heading2"/>
      </w:pPr>
      <w:r>
        <w:t xml:space="preserve">2. Independent clauses and bridges</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Clause</w:t>
            </w:r>
          </w:p>
        </w:tc>
        <w:tc>
          <w:tcPr/>
          <w:p>
            <w:pPr>
              <w:pStyle w:val="Compact"/>
              <w:jc w:val="left"/>
            </w:pPr>
            <w:r>
              <w:t xml:space="preserve">Statement</w:t>
            </w:r>
          </w:p>
        </w:tc>
        <w:tc>
          <w:tcPr/>
          <w:p>
            <w:pPr>
              <w:pStyle w:val="Compact"/>
              <w:jc w:val="left"/>
            </w:pPr>
            <w:r>
              <w:t xml:space="preserve">Formal form</w:t>
            </w:r>
          </w:p>
        </w:tc>
      </w:tr>
      <w:tr>
        <w:tc>
          <w:tcPr/>
          <w:p>
            <w:pPr>
              <w:pStyle w:val="Compact"/>
              <w:jc w:val="left"/>
            </w:pPr>
            <w:r>
              <w:t xml:space="preserve">G — Universal sustaining causality</w:t>
            </w:r>
          </w:p>
        </w:tc>
        <w:tc>
          <w:tcPr/>
          <w:p>
            <w:pPr>
              <w:pStyle w:val="Compact"/>
              <w:jc w:val="left"/>
            </w:pPr>
            <w:r>
              <w:t xml:space="preserve">The designated source g presently causes or sustains every other actual being and its positive perfections. This includes sustaining each creature’s existence.</w:t>
            </w:r>
          </w:p>
        </w:tc>
        <w:tc>
          <w:tcPr/>
          <w:p>
            <w:pPr>
              <w:pStyle w:val="Compact"/>
              <w:jc w:val="left"/>
            </w:pPr>
            <w:r>
              <w:t xml:space="preserve">A(x) ∧ x ≠ g ∧ H(x,q,m) ⇒ C(g,x,q)</w:t>
            </w:r>
          </w:p>
        </w:tc>
      </w:tr>
      <w:tr>
        <w:tc>
          <w:tcPr/>
          <w:p>
            <w:pPr>
              <w:pStyle w:val="Compact"/>
              <w:jc w:val="left"/>
            </w:pPr>
            <w:r>
              <w:t xml:space="preserve">CP — Causal dependence</w:t>
            </w:r>
          </w:p>
        </w:tc>
        <w:tc>
          <w:tcPr/>
          <w:p>
            <w:pPr>
              <w:pStyle w:val="Compact"/>
              <w:jc w:val="left"/>
            </w:pPr>
            <w:r>
              <w:t xml:space="preserve">Productive or sustaining causation grounds an effect’s actuality in the relevant respect. This bridge is not silently packed into the word</w:t>
            </w:r>
            <w:r>
              <w:t xml:space="preserve"> </w:t>
            </w:r>
            <w:r>
              <w:t xml:space="preserve">“</w:t>
            </w:r>
            <w:r>
              <w:t xml:space="preserve">cause.</w:t>
            </w:r>
            <w:r>
              <w:t xml:space="preserve">”</w:t>
            </w:r>
          </w:p>
        </w:tc>
        <w:tc>
          <w:tcPr/>
          <w:p>
            <w:pPr>
              <w:pStyle w:val="Compact"/>
              <w:jc w:val="left"/>
            </w:pPr>
            <w:r>
              <w:t xml:space="preserve">C(y,x,q) ⇒ D(x,y,q)</w:t>
            </w:r>
          </w:p>
        </w:tc>
      </w:tr>
      <w:tr>
        <w:tc>
          <w:tcPr/>
          <w:p>
            <w:pPr>
              <w:pStyle w:val="Compact"/>
              <w:jc w:val="left"/>
            </w:pPr>
            <w:r>
              <w:t xml:space="preserve">U — The source depends on nothing</w:t>
            </w:r>
          </w:p>
        </w:tc>
        <w:tc>
          <w:tcPr/>
          <w:p>
            <w:pPr>
              <w:pStyle w:val="Compact"/>
              <w:jc w:val="left"/>
            </w:pPr>
            <w:r>
              <w:t xml:space="preserve">The designated source receives none of the actuality or perfection by which it is actual. This does not by itself say that it is infinite, simple, or existent.</w:t>
            </w:r>
          </w:p>
        </w:tc>
        <w:tc>
          <w:tcPr/>
          <w:p>
            <w:pPr>
              <w:pStyle w:val="Compact"/>
              <w:jc w:val="left"/>
            </w:pPr>
            <w:r>
              <w:t xml:space="preserve">¬∃y,r D(g,y,r)</w:t>
            </w:r>
          </w:p>
        </w:tc>
      </w:tr>
      <w:tr>
        <w:tc>
          <w:tcPr/>
          <w:p>
            <w:pPr>
              <w:pStyle w:val="Compact"/>
              <w:jc w:val="left"/>
            </w:pPr>
            <w:r>
              <w:t xml:space="preserve">Q — Causal adequacy of the ultimate source</w:t>
            </w:r>
          </w:p>
        </w:tc>
        <w:tc>
          <w:tcPr/>
          <w:p>
            <w:pPr>
              <w:pStyle w:val="Compact"/>
              <w:jc w:val="left"/>
            </w:pPr>
            <w:r>
              <w:t xml:space="preserve">An independently identified positive perfection-content caused by the ultimate source has corresponding content in that source, under a potentially different mode. Both the selection of q and this possession bridge need argument. A complete finite-kind description is not transferred wholesale: causing learning does not imply learning. The principle does not apply to every instrumental cause, and must mean more than</w:t>
            </w:r>
            <w:r>
              <w:t xml:space="preserve"> </w:t>
            </w:r>
            <w:r>
              <w:t xml:space="preserve">“</w:t>
            </w:r>
            <w:r>
              <w:t xml:space="preserve">can cause q.</w:t>
            </w:r>
            <w:r>
              <w:t xml:space="preserve">”</w:t>
            </w:r>
          </w:p>
        </w:tc>
        <w:tc>
          <w:tcPr/>
          <w:p>
            <w:pPr>
              <w:pStyle w:val="Compact"/>
              <w:jc w:val="left"/>
            </w:pPr>
            <w:r>
              <w:t xml:space="preserve">C(g,x,q) ∧ H(x,q,m) ⇒ ∃n H(g,q,n)</w:t>
            </w:r>
          </w:p>
        </w:tc>
      </w:tr>
      <w:tr>
        <w:tc>
          <w:tcPr/>
          <w:p>
            <w:pPr>
              <w:pStyle w:val="Compact"/>
              <w:jc w:val="left"/>
            </w:pPr>
            <w:r>
              <w:t xml:space="preserve">KD — Composition entails dependence</w:t>
            </w:r>
          </w:p>
        </w:tc>
        <w:tc>
          <w:tcPr/>
          <w:p>
            <w:pPr>
              <w:pStyle w:val="Compact"/>
              <w:jc w:val="left"/>
            </w:pPr>
            <w:r>
              <w:t xml:space="preserve">A composite’s actuality depends upon its proper intrinsic constituents. Underivation plus this principle excludes composition of the source.</w:t>
            </w:r>
          </w:p>
        </w:tc>
        <w:tc>
          <w:tcPr/>
          <w:p>
            <w:pPr>
              <w:pStyle w:val="Compact"/>
              <w:jc w:val="left"/>
            </w:pPr>
            <w:r>
              <w:t xml:space="preserve">K(z,x) ⇒ D(x,z,e)</w:t>
            </w:r>
          </w:p>
        </w:tc>
      </w:tr>
      <w:tr>
        <w:tc>
          <w:tcPr/>
          <w:p>
            <w:pPr>
              <w:pStyle w:val="Compact"/>
              <w:jc w:val="left"/>
            </w:pPr>
            <w:r>
              <w:t xml:space="preserve">KH — Constituents do not exceed the whole</w:t>
            </w:r>
          </w:p>
        </w:tc>
        <w:tc>
          <w:tcPr/>
          <w:p>
            <w:pPr>
              <w:pStyle w:val="Compact"/>
              <w:jc w:val="left"/>
            </w:pPr>
            <w:r>
              <w:t xml:space="preserve">An intrinsic constituent cannot exceed the whole containing it in the relevant capacity for actuality. This goes beyond a theory of parts and wholes and must be defended independently.</w:t>
            </w:r>
          </w:p>
        </w:tc>
        <w:tc>
          <w:tcPr/>
          <w:p>
            <w:pPr>
              <w:pStyle w:val="Compact"/>
              <w:jc w:val="left"/>
            </w:pPr>
            <w:r>
              <w:t xml:space="preserve">K(z,x) ⇒ μₑ(z) ≤ μₑ(x)</w:t>
            </w:r>
          </w:p>
        </w:tc>
      </w:tr>
      <w:tr>
        <w:tc>
          <w:tcPr/>
          <w:p>
            <w:pPr>
              <w:pStyle w:val="Compact"/>
              <w:jc w:val="left"/>
            </w:pPr>
            <w:r>
              <w:t xml:space="preserve">FS — Unbounded source actuality</w:t>
            </w:r>
          </w:p>
        </w:tc>
        <w:tc>
          <w:tcPr/>
          <w:p>
            <w:pPr>
              <w:pStyle w:val="Compact"/>
              <w:jc w:val="left"/>
            </w:pPr>
            <w:r>
              <w:t xml:space="preserve">The source is unlimited in actuality. Underivation does not prove this. Unlimitedness in another perfection requires its own argument; adequacy alone supplies corresponding content, not an infinite degree.</w:t>
            </w:r>
          </w:p>
        </w:tc>
        <w:tc>
          <w:tcPr/>
          <w:p>
            <w:pPr>
              <w:pStyle w:val="Compact"/>
              <w:jc w:val="left"/>
            </w:pPr>
            <w:r>
              <w:t xml:space="preserve">μₑ(g) = ∞</w:t>
            </w:r>
          </w:p>
        </w:tc>
      </w:tr>
      <w:tr>
        <w:tc>
          <w:tcPr/>
          <w:p>
            <w:pPr>
              <w:pStyle w:val="Compact"/>
              <w:jc w:val="left"/>
            </w:pPr>
            <w:r>
              <w:t xml:space="preserve">FC — Bounded created actuality</w:t>
            </w:r>
          </w:p>
        </w:tc>
        <w:tc>
          <w:tcPr/>
          <w:p>
            <w:pPr>
              <w:pStyle w:val="Compact"/>
              <w:jc w:val="left"/>
            </w:pPr>
            <w:r>
              <w:t xml:space="preserve">Every actual other has a bounded mode of actuality. This is not a restriction on the source.</w:t>
            </w:r>
            <w:r>
              <w:t xml:space="preserve"> </w:t>
            </w:r>
            <w:r>
              <w:t xml:space="preserve">“</w:t>
            </w:r>
            <w:r>
              <w:t xml:space="preserve">Bounded</w:t>
            </w:r>
            <w:r>
              <w:t xml:space="preserve">”</w:t>
            </w:r>
            <w:r>
              <w:t xml:space="preserve"> </w:t>
            </w:r>
            <w:r>
              <w:t xml:space="preserve">is not a reduction of all perfections to a numerical quantity.</w:t>
            </w:r>
          </w:p>
        </w:tc>
        <w:tc>
          <w:tcPr/>
          <w:p>
            <w:pPr>
              <w:pStyle w:val="Compact"/>
              <w:jc w:val="left"/>
            </w:pPr>
            <w:r>
              <w:t xml:space="preserve">A(x) ∧ x ≠ g ⇒ μₑ(x) &lt; ∞</w:t>
            </w:r>
          </w:p>
        </w:tc>
      </w:tr>
      <w:tr>
        <w:tc>
          <w:tcPr/>
          <w:p>
            <w:pPr>
              <w:pStyle w:val="Compact"/>
              <w:jc w:val="left"/>
            </w:pPr>
            <w:r>
              <w:t xml:space="preserve">X — Unchanged source across creation alternatives</w:t>
            </w:r>
          </w:p>
        </w:tc>
        <w:tc>
          <w:tcPr/>
          <w:p>
            <w:pPr>
              <w:pStyle w:val="Compact"/>
              <w:jc w:val="left"/>
            </w:pPr>
            <w:r>
              <w:t xml:space="preserve">Differences in created effects do not constitute differences or gains in the source’s intrinsic actuality. Underivation at each world does not alone prove this comparison across worlds.</w:t>
            </w:r>
          </w:p>
        </w:tc>
        <w:tc>
          <w:tcPr/>
          <w:p>
            <w:pPr>
              <w:pStyle w:val="Compact"/>
              <w:jc w:val="left"/>
            </w:pPr>
            <w:r>
              <w:t xml:space="preserve">Jᵥ(g) = Jᵥ′(g) for admissible creation alternatives</w:t>
            </w:r>
          </w:p>
        </w:tc>
      </w:tr>
    </w:tbl>
    <w:p>
      <w:pPr>
        <w:pStyle w:val="BodyText"/>
      </w:pPr>
      <w:r>
        <w:t xml:space="preserve">G, U, FS, and FC are a conditional source profile, not consequences of generic participation. CP, Q, KD, and KH bridge independently interpreted categories. X compares intrinsic actuality across different possible created outcomes. Q is restricted to the ultimate source; an instrument need not exhibit every quality of what it helps produce. FS/FC concern actuality e; any perfection-specific non-exhaustion theorem requires corresponding assumptions in that same q.</w:t>
      </w:r>
    </w:p>
    <w:p>
      <w:pPr>
        <w:pStyle w:val="BodyText"/>
      </w:pPr>
      <w:r>
        <w:t xml:space="preserve">Global asymmetry was deleted: source-directed dependence is already asymmetric under CP + U. It would overconstrain unrelated creaturely relationships without contributing to this target.</w:t>
      </w:r>
    </w:p>
    <w:bookmarkEnd w:id="32"/>
    <w:bookmarkStart w:id="33" w:name="nonprimitive-terms"/>
    <w:p>
      <w:pPr>
        <w:pStyle w:val="Heading2"/>
      </w:pPr>
      <w:r>
        <w:t xml:space="preserve">3. Nonprimitive terms</w:t>
      </w:r>
    </w:p>
    <w:p>
      <w:pPr>
        <w:pStyle w:val="Compact"/>
        <w:numPr>
          <w:ilvl w:val="0"/>
          <w:numId w:val="1001"/>
        </w:numPr>
      </w:pPr>
      <w:r>
        <w:rPr>
          <w:b/>
          <w:bCs/>
        </w:rPr>
        <w:t xml:space="preserve">Reception:</w:t>
      </w:r>
      <w:r>
        <w:t xml:space="preserve"> </w:t>
      </w:r>
      <w:r>
        <w:t xml:space="preserve">Rec(x,q,g) := C(g,x,q) ∧ ∃m H(x,q,m). No likeness, finitude, or nonpartition is stipulated.</w:t>
      </w:r>
    </w:p>
    <w:p>
      <w:pPr>
        <w:pStyle w:val="Compact"/>
        <w:numPr>
          <w:ilvl w:val="0"/>
          <w:numId w:val="1001"/>
        </w:numPr>
      </w:pPr>
      <w:r>
        <w:rPr>
          <w:b/>
          <w:bCs/>
        </w:rPr>
        <w:t xml:space="preserve">Participation:</w:t>
      </w:r>
      <w:r>
        <w:t xml:space="preserve"> </w:t>
      </w:r>
      <w:r>
        <w:t xml:space="preserve">P(x,g,q) := Rec(x,q,g) ∧ D(x,g,q). CP generates the dependency from causal realization.</w:t>
      </w:r>
    </w:p>
    <w:p>
      <w:pPr>
        <w:pStyle w:val="Compact"/>
        <w:numPr>
          <w:ilvl w:val="0"/>
          <w:numId w:val="1001"/>
        </w:numPr>
      </w:pPr>
      <w:r>
        <w:rPr>
          <w:b/>
          <w:bCs/>
        </w:rPr>
        <w:t xml:space="preserve">Likeness:</w:t>
      </w:r>
      <w:r>
        <w:t xml:space="preserve"> </w:t>
      </w:r>
      <w:r>
        <w:t xml:space="preserve">L(x,g,q) := ∃m,n [H(x,q,m) ∧ H(g,q,n)]. Shared qualitative content does not include a common natural genus, identical modes, or numerical identity.</w:t>
      </w:r>
    </w:p>
    <w:p>
      <w:pPr>
        <w:pStyle w:val="Compact"/>
        <w:numPr>
          <w:ilvl w:val="0"/>
          <w:numId w:val="1001"/>
        </w:numPr>
      </w:pPr>
      <w:r>
        <w:rPr>
          <w:b/>
          <w:bCs/>
        </w:rPr>
        <w:t xml:space="preserve">Expression:</w:t>
      </w:r>
      <w:r>
        <w:t xml:space="preserve"> </w:t>
      </w:r>
      <w:r>
        <w:t xml:space="preserve">E := P ∧ L. This is a real expression of the source; it does not guarantee that someone recognizes it.</w:t>
      </w:r>
    </w:p>
    <w:p>
      <w:pPr>
        <w:pStyle w:val="Compact"/>
        <w:numPr>
          <w:ilvl w:val="0"/>
          <w:numId w:val="1001"/>
        </w:numPr>
      </w:pPr>
      <w:r>
        <w:rPr>
          <w:b/>
          <w:bCs/>
        </w:rPr>
        <w:t xml:space="preserve">Underived source:</w:t>
      </w:r>
      <w:r>
        <w:t xml:space="preserve"> </w:t>
      </w:r>
      <w:r>
        <w:t xml:space="preserve">U(y) := ¬∃z,r D(y,z,r). It contains neither infinity nor simplicity.</w:t>
      </w:r>
    </w:p>
    <w:p>
      <w:pPr>
        <w:pStyle w:val="Compact"/>
        <w:numPr>
          <w:ilvl w:val="0"/>
          <w:numId w:val="1001"/>
        </w:numPr>
      </w:pPr>
      <w:r>
        <w:rPr>
          <w:b/>
          <w:bCs/>
        </w:rPr>
        <w:t xml:space="preserve">Noncomposite in this model:</w:t>
      </w:r>
      <w:r>
        <w:t xml:space="preserve"> </w:t>
      </w:r>
      <w:r>
        <w:t xml:space="preserve">¬∃z K(z,y). This excludes proper intrinsic constituents. It is narrower than the full classical doctrine of divine simplicity and does not exclude every disputed real distinction, formality, or energy.</w:t>
      </w:r>
    </w:p>
    <w:p>
      <w:pPr>
        <w:pStyle w:val="Compact"/>
        <w:numPr>
          <w:ilvl w:val="0"/>
          <w:numId w:val="1001"/>
        </w:numPr>
      </w:pPr>
      <w:r>
        <w:rPr>
          <w:b/>
          <w:bCs/>
        </w:rPr>
        <w:t xml:space="preserve">Communication:</w:t>
      </w:r>
      <w:r>
        <w:t xml:space="preserve"> </w:t>
      </w:r>
      <w:r>
        <w:t xml:space="preserve">productive real realization in another; nondivision is a theorem under the constitution bridges, not its definition.</w:t>
      </w:r>
    </w:p>
    <w:p>
      <w:pPr>
        <w:pStyle w:val="Compact"/>
        <w:numPr>
          <w:ilvl w:val="0"/>
          <w:numId w:val="1001"/>
        </w:numPr>
      </w:pPr>
      <w:r>
        <w:rPr>
          <w:b/>
          <w:bCs/>
        </w:rPr>
        <w:t xml:space="preserve">Non-exhaustion:</w:t>
      </w:r>
      <w:r>
        <w:t xml:space="preserve"> </w:t>
      </w:r>
      <w:r>
        <w:t xml:space="preserve">μₑ(x) &lt; μₑ(g). This is failure to match source actuality-capacity, not a proof that every finite sentence, symbol, or infinite aggregate inadequately represents every aspect of its source.</w:t>
      </w:r>
    </w:p>
    <w:p>
      <w:pPr>
        <w:pStyle w:val="Compact"/>
        <w:numPr>
          <w:ilvl w:val="0"/>
          <w:numId w:val="1001"/>
        </w:numPr>
      </w:pPr>
      <w:r>
        <w:rPr>
          <w:b/>
          <w:bCs/>
        </w:rPr>
        <w:t xml:space="preserve">Causal intimacy:</w:t>
      </w:r>
      <w:r>
        <w:t xml:space="preserve"> </w:t>
      </w:r>
      <w:r>
        <w:t xml:space="preserve">the source’s present causation of created actuality, not spatial proximity.</w:t>
      </w:r>
      <w:r>
        <w:t xml:space="preserve"> </w:t>
      </w:r>
      <w:r>
        <w:rPr>
          <w:b/>
          <w:bCs/>
        </w:rPr>
        <w:t xml:space="preserve">Transcendence:</w:t>
      </w:r>
      <w:r>
        <w:t xml:space="preserve"> </w:t>
      </w:r>
      <w:r>
        <w:t xml:space="preserve">underivation and unbounded actuality, not distance.</w:t>
      </w:r>
    </w:p>
    <w:p>
      <w:pPr>
        <w:pStyle w:val="Compact"/>
        <w:numPr>
          <w:ilvl w:val="0"/>
          <w:numId w:val="1001"/>
        </w:numPr>
      </w:pPr>
      <w:r>
        <w:rPr>
          <w:b/>
          <w:bCs/>
        </w:rPr>
        <w:t xml:space="preserve">Perfection:</w:t>
      </w:r>
      <w:r>
        <w:t xml:space="preserve"> </w:t>
      </w:r>
      <w:r>
        <w:t xml:space="preserve">a defended interpretation of positive realized content; it is not reducible to mere causal effecthood.</w:t>
      </w:r>
      <w:r>
        <w:t xml:space="preserve"> </w:t>
      </w:r>
      <w:r>
        <w:rPr>
          <w:b/>
          <w:bCs/>
        </w:rPr>
        <w:t xml:space="preserve">Intelligibility:</w:t>
      </w:r>
      <w:r>
        <w:t xml:space="preserve"> </w:t>
      </w:r>
      <w:r>
        <w:t xml:space="preserve">receives no separate proof from the base; divine cognition/logoi provide theological interpretations and further premises.</w:t>
      </w:r>
    </w:p>
    <w:bookmarkEnd w:id="33"/>
    <w:bookmarkStart w:id="34" w:name="derivation-tree"/>
    <w:p>
      <w:pPr>
        <w:pStyle w:val="Heading2"/>
      </w:pPr>
      <w:r>
        <w:t xml:space="preserve">4. Derivation tree</w:t>
      </w:r>
    </w:p>
    <w:p>
      <w:pPr>
        <w:pStyle w:val="SourceCode"/>
      </w:pPr>
      <w:r>
        <w:rPr>
          <w:rStyle w:val="VerbatimChar"/>
        </w:rPr>
        <w:t xml:space="preserve">G + CP + U                 → asymmetric source–effect dependence</w:t>
      </w:r>
      <w:r>
        <w:br/>
      </w:r>
      <w:r>
        <w:rPr>
          <w:rStyle w:val="VerbatimChar"/>
        </w:rPr>
        <w:t xml:space="preserve">Rec + CP                   → P</w:t>
      </w:r>
      <w:r>
        <w:br/>
      </w:r>
      <w:r>
        <w:rPr>
          <w:rStyle w:val="VerbatimChar"/>
        </w:rPr>
        <w:t xml:space="preserve">P + Q                      → L and E</w:t>
      </w:r>
      <w:r>
        <w:br/>
      </w:r>
      <w:r>
        <w:rPr>
          <w:rStyle w:val="VerbatimChar"/>
        </w:rPr>
        <w:t xml:space="preserve">CP + U                     → a source-caused effect cannot be g</w:t>
      </w:r>
      <w:r>
        <w:br/>
      </w:r>
      <w:r>
        <w:rPr>
          <w:rStyle w:val="VerbatimChar"/>
        </w:rPr>
        <w:t xml:space="preserve">KD + U                     → g has no proper intrinsic constituents</w:t>
      </w:r>
      <w:r>
        <w:br/>
      </w:r>
      <w:r>
        <w:rPr>
          <w:rStyle w:val="VerbatimChar"/>
        </w:rPr>
        <w:t xml:space="preserve">KH + FS + FC               → g is no intrinsic constituent of a creature</w:t>
      </w:r>
      <w:r>
        <w:br/>
      </w:r>
      <w:r>
        <w:rPr>
          <w:rStyle w:val="VerbatimChar"/>
        </w:rPr>
        <w:t xml:space="preserve">FS + FC                    → finite actuality cannot measure source actuality</w:t>
      </w:r>
      <w:r>
        <w:br/>
      </w:r>
      <w:r>
        <w:rPr>
          <w:rStyle w:val="VerbatimChar"/>
        </w:rPr>
        <w:t xml:space="preserve">source profile + X         → varying effects without intrinsic source gain</w:t>
      </w:r>
      <w:r>
        <w:br/>
      </w:r>
      <w:r>
        <w:rPr>
          <w:rStyle w:val="VerbatimChar"/>
        </w:rPr>
        <w:t xml:space="preserve">KD + U + N                 → no natural genus constituted by distinct principles</w:t>
      </w:r>
      <w:r>
        <w:br/>
      </w:r>
      <w:r>
        <w:rPr>
          <w:rStyle w:val="VerbatimChar"/>
        </w:rPr>
        <w:t xml:space="preserve">X + accessible alternative → contingency of the specified effect</w:t>
      </w:r>
      <w:r>
        <w:br/>
      </w:r>
      <w:r>
        <w:rPr>
          <w:rStyle w:val="VerbatimChar"/>
        </w:rPr>
        <w:t xml:space="preserve">X + no-creation alternative → no finite expression necessary from fullness</w:t>
      </w:r>
      <w:r>
        <w:br/>
      </w:r>
      <w:r>
        <w:rPr>
          <w:rStyle w:val="VerbatimChar"/>
        </w:rPr>
        <w:t xml:space="preserve">these + free intentional selection → scope for intentional free creation</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Target</w:t>
            </w:r>
          </w:p>
        </w:tc>
        <w:tc>
          <w:tcPr/>
          <w:p>
            <w:pPr>
              <w:pStyle w:val="Compact"/>
              <w:jc w:val="left"/>
            </w:pPr>
            <w:r>
              <w:t xml:space="preserve">Result</w:t>
            </w:r>
          </w:p>
        </w:tc>
        <w:tc>
          <w:tcPr/>
          <w:p>
            <w:pPr>
              <w:pStyle w:val="Compact"/>
              <w:jc w:val="left"/>
            </w:pPr>
            <w:r>
              <w:t xml:space="preserve">Clauses / limits</w:t>
            </w:r>
          </w:p>
        </w:tc>
      </w:tr>
      <w:tr>
        <w:tc>
          <w:tcPr/>
          <w:p>
            <w:pPr>
              <w:pStyle w:val="Compact"/>
              <w:jc w:val="left"/>
            </w:pPr>
            <w:r>
              <w:t xml:space="preserve">T1 Participation without partition</w:t>
            </w:r>
          </w:p>
        </w:tc>
        <w:tc>
          <w:tcPr/>
          <w:p>
            <w:pPr>
              <w:pStyle w:val="Compact"/>
              <w:jc w:val="left"/>
            </w:pPr>
            <w:r>
              <w:t xml:space="preserve">Conditional</w:t>
            </w:r>
          </w:p>
        </w:tc>
        <w:tc>
          <w:tcPr/>
          <w:p>
            <w:pPr>
              <w:pStyle w:val="Compact"/>
              <w:jc w:val="left"/>
            </w:pPr>
            <w:r>
              <w:t xml:space="preserve">G, CP, U, KD, KH, FS, FC: KD + U exclude a creature as a constituent of g. KH + FS + FC exclude g as a constituent of a creature. This excludes substance-sharing, not every possible meaning of expression.</w:t>
            </w:r>
          </w:p>
        </w:tc>
      </w:tr>
      <w:tr>
        <w:tc>
          <w:tcPr/>
          <w:p>
            <w:pPr>
              <w:pStyle w:val="Compact"/>
              <w:jc w:val="left"/>
            </w:pPr>
            <w:r>
              <w:t xml:space="preserve">T2 Likeness without identity</w:t>
            </w:r>
          </w:p>
        </w:tc>
        <w:tc>
          <w:tcPr/>
          <w:p>
            <w:pPr>
              <w:pStyle w:val="Compact"/>
              <w:jc w:val="left"/>
            </w:pPr>
            <w:r>
              <w:t xml:space="preserve">Conditional</w:t>
            </w:r>
          </w:p>
        </w:tc>
        <w:tc>
          <w:tcPr/>
          <w:p>
            <w:pPr>
              <w:pStyle w:val="Compact"/>
              <w:jc w:val="left"/>
            </w:pPr>
            <w:r>
              <w:t xml:space="preserve">CP, U, Q: For an actual C(g,x,q) effect with H(x,q,m), Q supplies shared content. If x were g, CP would imply dependence of g, contradicting U. No difference is hidden in the definition of reception.</w:t>
            </w:r>
          </w:p>
        </w:tc>
      </w:tr>
      <w:tr>
        <w:tc>
          <w:tcPr/>
          <w:p>
            <w:pPr>
              <w:pStyle w:val="Compact"/>
              <w:jc w:val="left"/>
            </w:pPr>
            <w:r>
              <w:t xml:space="preserve">T3 Likeness without common genus</w:t>
            </w:r>
          </w:p>
        </w:tc>
        <w:tc>
          <w:tcPr/>
          <w:p>
            <w:pPr>
              <w:pStyle w:val="Compact"/>
              <w:jc w:val="left"/>
            </w:pPr>
            <w:r>
              <w:t xml:space="preserve">Extra bridge</w:t>
            </w:r>
          </w:p>
        </w:tc>
        <w:tc>
          <w:tcPr/>
          <w:p>
            <w:pPr>
              <w:pStyle w:val="Compact"/>
              <w:jc w:val="left"/>
            </w:pPr>
            <w:r>
              <w:t xml:space="preserve">G, Q, U, KD, N: The basic assumptions block an inference from likeness to genus; it does not prove that no genus exists. N + KD + U exclude natural genus-membership. Scotist univocity of a concept is a separate issue.</w:t>
            </w:r>
          </w:p>
        </w:tc>
      </w:tr>
      <w:tr>
        <w:tc>
          <w:tcPr/>
          <w:p>
            <w:pPr>
              <w:pStyle w:val="Compact"/>
              <w:jc w:val="left"/>
            </w:pPr>
            <w:r>
              <w:t xml:space="preserve">T4 Dependence without reciprocal completion</w:t>
            </w:r>
          </w:p>
        </w:tc>
        <w:tc>
          <w:tcPr/>
          <w:p>
            <w:pPr>
              <w:pStyle w:val="Compact"/>
              <w:jc w:val="left"/>
            </w:pPr>
            <w:r>
              <w:t xml:space="preserve">Conditional</w:t>
            </w:r>
          </w:p>
        </w:tc>
        <w:tc>
          <w:tcPr/>
          <w:p>
            <w:pPr>
              <w:pStyle w:val="Compact"/>
              <w:jc w:val="left"/>
            </w:pPr>
            <w:r>
              <w:t xml:space="preserve">G, CP, U: Effects depend on g; no actuality of g is grounded in them.</w:t>
            </w:r>
            <w:r>
              <w:t xml:space="preserve"> </w:t>
            </w:r>
            <w:r>
              <w:t xml:space="preserve">“</w:t>
            </w:r>
            <w:r>
              <w:t xml:space="preserve">Completion</w:t>
            </w:r>
            <w:r>
              <w:t xml:space="preserve">”</w:t>
            </w:r>
            <w:r>
              <w:t xml:space="preserve"> </w:t>
            </w:r>
            <w:r>
              <w:t xml:space="preserve">must mean acquisition or grounding of intrinsic perfection, not merely true external predication.</w:t>
            </w:r>
          </w:p>
        </w:tc>
      </w:tr>
      <w:tr>
        <w:tc>
          <w:tcPr/>
          <w:p>
            <w:pPr>
              <w:pStyle w:val="Compact"/>
              <w:jc w:val="left"/>
            </w:pPr>
            <w:r>
              <w:t xml:space="preserve">T5 Causal intimacy without constituent identity</w:t>
            </w:r>
          </w:p>
        </w:tc>
        <w:tc>
          <w:tcPr/>
          <w:p>
            <w:pPr>
              <w:pStyle w:val="Compact"/>
              <w:jc w:val="left"/>
            </w:pPr>
            <w:r>
              <w:t xml:space="preserve">Conditional</w:t>
            </w:r>
          </w:p>
        </w:tc>
        <w:tc>
          <w:tcPr/>
          <w:p>
            <w:pPr>
              <w:pStyle w:val="Compact"/>
              <w:jc w:val="left"/>
            </w:pPr>
            <w:r>
              <w:t xml:space="preserve">G, CP, U, KD, KH, FS, FC: G requires the source to sustain actuality in the present. T1 rules out intrinsic constituency in either direction. Intimacy means this immediate grounding, not spatial closeness.</w:t>
            </w:r>
          </w:p>
        </w:tc>
      </w:tr>
      <w:tr>
        <w:tc>
          <w:tcPr/>
          <w:p>
            <w:pPr>
              <w:pStyle w:val="Compact"/>
              <w:jc w:val="left"/>
            </w:pPr>
            <w:r>
              <w:t xml:space="preserve">T6 Transcendence without distance</w:t>
            </w:r>
          </w:p>
        </w:tc>
        <w:tc>
          <w:tcPr/>
          <w:p>
            <w:pPr>
              <w:pStyle w:val="Compact"/>
              <w:jc w:val="left"/>
            </w:pPr>
            <w:r>
              <w:t xml:space="preserve">Compatibility</w:t>
            </w:r>
          </w:p>
        </w:tc>
        <w:tc>
          <w:tcPr/>
          <w:p>
            <w:pPr>
              <w:pStyle w:val="Compact"/>
              <w:jc w:val="left"/>
            </w:pPr>
            <w:r>
              <w:t xml:space="preserve">G, CP, U, FS, FC: Unequal modes and underivation coexist with present causation. The theory neither places God at a spatial location nor proves a spatial negative from a language without space.</w:t>
            </w:r>
          </w:p>
        </w:tc>
      </w:tr>
      <w:tr>
        <w:tc>
          <w:tcPr/>
          <w:p>
            <w:pPr>
              <w:pStyle w:val="Compact"/>
              <w:jc w:val="left"/>
            </w:pPr>
            <w:r>
              <w:t xml:space="preserve">T7 Finite manifestation without exhaustive representation</w:t>
            </w:r>
          </w:p>
        </w:tc>
        <w:tc>
          <w:tcPr/>
          <w:p>
            <w:pPr>
              <w:pStyle w:val="Compact"/>
              <w:jc w:val="left"/>
            </w:pPr>
            <w:r>
              <w:t xml:space="preserve">Qualified</w:t>
            </w:r>
          </w:p>
        </w:tc>
        <w:tc>
          <w:tcPr/>
          <w:p>
            <w:pPr>
              <w:pStyle w:val="Compact"/>
              <w:jc w:val="left"/>
            </w:pPr>
            <w:r>
              <w:t xml:space="preserve">G, Q, FS, FC: Source-related content can be truly manifested while a finite realization fails to match unlimited source actuality. Objective expression is not yet warranted recognition. A finite proposition can be exactly true; the mode comparison does not disqualify every representation or infinite aggregate.</w:t>
            </w:r>
          </w:p>
        </w:tc>
      </w:tr>
      <w:tr>
        <w:tc>
          <w:tcPr/>
          <w:p>
            <w:pPr>
              <w:pStyle w:val="Compact"/>
              <w:jc w:val="left"/>
            </w:pPr>
            <w:r>
              <w:t xml:space="preserve">T8 Real communication without source-completion</w:t>
            </w:r>
          </w:p>
        </w:tc>
        <w:tc>
          <w:tcPr/>
          <w:p>
            <w:pPr>
              <w:pStyle w:val="Compact"/>
              <w:jc w:val="left"/>
            </w:pPr>
            <w:r>
              <w:t xml:space="preserve">Conditional</w:t>
            </w:r>
          </w:p>
        </w:tc>
        <w:tc>
          <w:tcPr/>
          <w:p>
            <w:pPr>
              <w:pStyle w:val="Compact"/>
              <w:jc w:val="left"/>
            </w:pPr>
            <w:r>
              <w:t xml:space="preserve">G, CP, Q, U, X: H places the received perfection really in the participant; C gives its productive origin. Nonpartition is established separately by T1. U excludes completion grounded in the effect; X additionally excludes intrinsic gain correlated with different communications.</w:t>
            </w:r>
          </w:p>
        </w:tc>
      </w:tr>
      <w:tr>
        <w:tc>
          <w:tcPr/>
          <w:p>
            <w:pPr>
              <w:pStyle w:val="Compact"/>
              <w:jc w:val="left"/>
            </w:pPr>
            <w:r>
              <w:t xml:space="preserve">T9 Creaturely perfection without independent Forms</w:t>
            </w:r>
          </w:p>
        </w:tc>
        <w:tc>
          <w:tcPr/>
          <w:p>
            <w:pPr>
              <w:pStyle w:val="Compact"/>
              <w:jc w:val="left"/>
            </w:pPr>
            <w:r>
              <w:t xml:space="preserve">Economy, not exclusion</w:t>
            </w:r>
          </w:p>
        </w:tc>
        <w:tc>
          <w:tcPr/>
          <w:p>
            <w:pPr>
              <w:pStyle w:val="Compact"/>
              <w:jc w:val="left"/>
            </w:pPr>
            <w:r>
              <w:t xml:space="preserve">G, Q: H records what the creature really possesses; q indexes intelligible content without introducing an actual detached Form. An independently existing Form is unnecessary for this account of sourced perfection. Its nonexistence requires an additional ontological closure principle.</w:t>
            </w:r>
          </w:p>
        </w:tc>
      </w:tr>
      <w:tr>
        <w:tc>
          <w:tcPr/>
          <w:p>
            <w:pPr>
              <w:pStyle w:val="Compact"/>
              <w:jc w:val="left"/>
            </w:pPr>
            <w:r>
              <w:t xml:space="preserve">T10 Divine immanence without pantheistic identity</w:t>
            </w:r>
          </w:p>
        </w:tc>
        <w:tc>
          <w:tcPr/>
          <w:p>
            <w:pPr>
              <w:pStyle w:val="Compact"/>
              <w:jc w:val="left"/>
            </w:pPr>
            <w:r>
              <w:t xml:space="preserve">Conditional</w:t>
            </w:r>
          </w:p>
        </w:tc>
        <w:tc>
          <w:tcPr/>
          <w:p>
            <w:pPr>
              <w:pStyle w:val="Compact"/>
              <w:jc w:val="left"/>
            </w:pPr>
            <w:r>
              <w:t xml:space="preserve">G, CP, U, KH, FS, FC: Present sustaining causality and source–effect nonidentity jointly hold. This excludes identity-pantheism;</w:t>
            </w:r>
            <w:r>
              <w:t xml:space="preserve"> </w:t>
            </w:r>
            <w:r>
              <w:t xml:space="preserve">“</w:t>
            </w:r>
            <w:r>
              <w:t xml:space="preserve">panentheism</w:t>
            </w:r>
            <w:r>
              <w:t xml:space="preserve">”</w:t>
            </w:r>
            <w:r>
              <w:t xml:space="preserve"> </w:t>
            </w:r>
            <w:r>
              <w:t xml:space="preserve">remains too varied a label to refute by one theorem.</w:t>
            </w:r>
          </w:p>
        </w:tc>
      </w:tr>
      <w:tr>
        <w:tc>
          <w:tcPr/>
          <w:p>
            <w:pPr>
              <w:pStyle w:val="Compact"/>
              <w:jc w:val="left"/>
            </w:pPr>
            <w:r>
              <w:t xml:space="preserve">T11 Asymmetric Creator–creature relation</w:t>
            </w:r>
          </w:p>
        </w:tc>
        <w:tc>
          <w:tcPr/>
          <w:p>
            <w:pPr>
              <w:pStyle w:val="Compact"/>
              <w:jc w:val="left"/>
            </w:pPr>
            <w:r>
              <w:t xml:space="preserve">Qualified</w:t>
            </w:r>
          </w:p>
        </w:tc>
        <w:tc>
          <w:tcPr/>
          <w:p>
            <w:pPr>
              <w:pStyle w:val="Compact"/>
              <w:jc w:val="left"/>
            </w:pPr>
            <w:r>
              <w:t xml:space="preserve">G, CP, U, X: D is an actual creaturely grounding fact; source intrinsic actuality is not constituted by changed effects. Aquinas’s further</w:t>
            </w:r>
            <w:r>
              <w:t xml:space="preserve"> </w:t>
            </w:r>
            <w:r>
              <w:t xml:space="preserve">“</w:t>
            </w:r>
            <w:r>
              <w:t xml:space="preserve">real / relation of reason</w:t>
            </w:r>
            <w:r>
              <w:t xml:space="preserve">”</w:t>
            </w:r>
            <w:r>
              <w:t xml:space="preserve"> </w:t>
            </w:r>
            <w:r>
              <w:t xml:space="preserve">classification requires a school-specific relational ontology.</w:t>
            </w:r>
          </w:p>
        </w:tc>
      </w:tr>
      <w:tr>
        <w:tc>
          <w:tcPr/>
          <w:p>
            <w:pPr>
              <w:pStyle w:val="Compact"/>
              <w:jc w:val="left"/>
            </w:pPr>
            <w:r>
              <w:t xml:space="preserve">T12 Finite measure belongs to the recipient</w:t>
            </w:r>
          </w:p>
        </w:tc>
        <w:tc>
          <w:tcPr/>
          <w:p>
            <w:pPr>
              <w:pStyle w:val="Compact"/>
              <w:jc w:val="left"/>
            </w:pPr>
            <w:r>
              <w:t xml:space="preserve">Indexed fact</w:t>
            </w:r>
          </w:p>
        </w:tc>
        <w:tc>
          <w:tcPr/>
          <w:p>
            <w:pPr>
              <w:pStyle w:val="Compact"/>
              <w:jc w:val="left"/>
            </w:pPr>
            <w:r>
              <w:t xml:space="preserve">FS, FC: H indexes mode to its subject. FC bounds creatures; FS independently leaves the source unbounded. Subject-indexing alone would never prove divine infinity.</w:t>
            </w:r>
          </w:p>
        </w:tc>
      </w:tr>
      <w:tr>
        <w:tc>
          <w:tcPr/>
          <w:p>
            <w:pPr>
              <w:pStyle w:val="Compact"/>
              <w:jc w:val="left"/>
            </w:pPr>
            <w:r>
              <w:t xml:space="preserve">T13 Many expressions, no multiplied source</w:t>
            </w:r>
          </w:p>
        </w:tc>
        <w:tc>
          <w:tcPr/>
          <w:p>
            <w:pPr>
              <w:pStyle w:val="Compact"/>
              <w:jc w:val="left"/>
            </w:pPr>
            <w:r>
              <w:t xml:space="preserve">Non-entailment</w:t>
            </w:r>
          </w:p>
        </w:tc>
        <w:tc>
          <w:tcPr/>
          <w:p>
            <w:pPr>
              <w:pStyle w:val="Compact"/>
              <w:jc w:val="left"/>
            </w:pPr>
            <w:r>
              <w:t xml:space="preserve">G, CP, U, KD, X: KD + U exclude composition of g; X allows multiple created effects with unchanged intrinsic source actuality. Many effects do not entail many divine constituents. This does not settle formalities or energies.</w:t>
            </w:r>
          </w:p>
        </w:tc>
      </w:tr>
      <w:tr>
        <w:tc>
          <w:tcPr/>
          <w:p>
            <w:pPr>
              <w:pStyle w:val="Compact"/>
              <w:jc w:val="left"/>
            </w:pPr>
            <w:r>
              <w:t xml:space="preserve">T14 No finite participation measures the unlimited source</w:t>
            </w:r>
          </w:p>
        </w:tc>
        <w:tc>
          <w:tcPr/>
          <w:p>
            <w:pPr>
              <w:pStyle w:val="Compact"/>
              <w:jc w:val="left"/>
            </w:pPr>
            <w:r>
              <w:t xml:space="preserve">Conditional</w:t>
            </w:r>
          </w:p>
        </w:tc>
        <w:tc>
          <w:tcPr/>
          <w:p>
            <w:pPr>
              <w:pStyle w:val="Compact"/>
              <w:jc w:val="left"/>
            </w:pPr>
            <w:r>
              <w:t xml:space="preserve">FS, FC: For actuality e, every finite μₑ(x) is strictly below μₑ(g). For another perfection q, add unlimitedness of the source and boundedness of that participation in that very respect.</w:t>
            </w:r>
          </w:p>
        </w:tc>
      </w:tr>
      <w:tr>
        <w:tc>
          <w:tcPr/>
          <w:p>
            <w:pPr>
              <w:pStyle w:val="Compact"/>
              <w:jc w:val="left"/>
            </w:pPr>
            <w:r>
              <w:t xml:space="preserve">T15 No particular expression necessitated by fullness</w:t>
            </w:r>
          </w:p>
        </w:tc>
        <w:tc>
          <w:tcPr/>
          <w:p>
            <w:pPr>
              <w:pStyle w:val="Compact"/>
              <w:jc w:val="left"/>
            </w:pPr>
            <w:r>
              <w:t xml:space="preserve">Extra modal premise</w:t>
            </w:r>
          </w:p>
        </w:tc>
        <w:tc>
          <w:tcPr/>
          <w:p>
            <w:pPr>
              <w:pStyle w:val="Compact"/>
              <w:jc w:val="left"/>
            </w:pPr>
            <w:r>
              <w:t xml:space="preserve">X, V: V supplies a genuine no-creation alternative with the same source fullness, so no finite expression is necessary from that fullness. W is additionally required for intentional free selection. Neither follows from non-exhaustion.</w:t>
            </w:r>
          </w:p>
        </w:tc>
      </w:tr>
    </w:tbl>
    <w:p>
      <w:pPr>
        <w:pStyle w:val="BodyText"/>
      </w:pPr>
      <w:r>
        <w:t xml:space="preserve">For T1, KD + U forbid an intrinsic creature-constituent of g; KH + FS + FC forbid g as an intrinsic constituent of a finite effect. A simple source could otherwise remain a constituent of another. For T2, given C(g,x,q) and H(x,q,m), Q gives source-content; CP + U exclude x = g. Difference was not built into reception.</w:t>
      </w:r>
    </w:p>
    <w:p>
      <w:pPr>
        <w:pStyle w:val="BodyText"/>
      </w:pPr>
      <w:r>
        <w:t xml:space="preserve">Strong T3 requires</w:t>
      </w:r>
      <w:r>
        <w:t xml:space="preserve"> </w:t>
      </w:r>
      <w:r>
        <w:rPr>
          <w:b/>
          <w:bCs/>
        </w:rPr>
        <w:t xml:space="preserve">N</w:t>
      </w:r>
      <w:r>
        <w:t xml:space="preserve">, a defended natural-genus account: genus and specific differentiation are distinct intrinsic constitutive principles. Noncomposition then excludes that genus-membership. A shared concept of being is not thereby a natural genus; Scotist univocity is not refuted by this argument. The base proves no inference from shared H to genus, not no-genus by pure logic.</w:t>
      </w:r>
    </w:p>
    <w:p>
      <w:pPr>
        <w:pStyle w:val="BodyText"/>
      </w:pPr>
      <w:r>
        <w:t xml:space="preserve">T11 obtains real asymmetric creaturely grounding without intrinsic source constitution. Aquinas’s further real/relation-of-reason classification requires his relational ontology; true reciprocal predications are not denied. T13 does not prove that formalities or uncreated energies are creatureward conceptual distinctions.</w:t>
      </w:r>
    </w:p>
    <w:bookmarkEnd w:id="34"/>
    <w:bookmarkStart w:id="35" w:name="deletion-and-independence"/>
    <w:p>
      <w:pPr>
        <w:pStyle w:val="Heading2"/>
      </w:pPr>
      <w:r>
        <w:t xml:space="preserve">5. Deletion and independence</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Delete</w:t>
            </w:r>
          </w:p>
        </w:tc>
        <w:tc>
          <w:tcPr/>
          <w:p>
            <w:pPr>
              <w:pStyle w:val="Compact"/>
              <w:jc w:val="left"/>
            </w:pPr>
            <w:r>
              <w:t xml:space="preserve">Retained-clause witness</w:t>
            </w:r>
          </w:p>
        </w:tc>
        <w:tc>
          <w:tcPr/>
          <w:p>
            <w:pPr>
              <w:pStyle w:val="Compact"/>
              <w:jc w:val="left"/>
            </w:pPr>
            <w:r>
              <w:t xml:space="preserve">Consequence lost</w:t>
            </w:r>
          </w:p>
        </w:tc>
      </w:tr>
      <w:tr>
        <w:tc>
          <w:tcPr/>
          <w:p>
            <w:pPr>
              <w:pStyle w:val="Compact"/>
              <w:jc w:val="left"/>
            </w:pPr>
            <w:r>
              <w:t xml:space="preserve">G</w:t>
            </w:r>
          </w:p>
        </w:tc>
        <w:tc>
          <w:tcPr/>
          <w:p>
            <w:pPr>
              <w:pStyle w:val="Compact"/>
              <w:jc w:val="left"/>
            </w:pPr>
            <w:r>
              <w:t xml:space="preserve">Deistic or immanent remainder: some actual perfection persists without the designated source.</w:t>
            </w:r>
          </w:p>
        </w:tc>
        <w:tc>
          <w:tcPr/>
          <w:p>
            <w:pPr>
              <w:pStyle w:val="Compact"/>
              <w:jc w:val="left"/>
            </w:pPr>
            <w:r>
              <w:t xml:space="preserve">A genuinely actual creature with no source remains possible. Dependence</w:t>
            </w:r>
            <w:r>
              <w:t xml:space="preserve"> </w:t>
            </w:r>
            <w:r>
              <w:t xml:space="preserve">“</w:t>
            </w:r>
            <w:r>
              <w:t xml:space="preserve">in every moment</w:t>
            </w:r>
            <w:r>
              <w:t xml:space="preserve">”</w:t>
            </w:r>
            <w:r>
              <w:t xml:space="preserve"> </w:t>
            </w:r>
            <w:r>
              <w:t xml:space="preserve">cannot then be claimed.</w:t>
            </w:r>
          </w:p>
        </w:tc>
      </w:tr>
      <w:tr>
        <w:tc>
          <w:tcPr/>
          <w:p>
            <w:pPr>
              <w:pStyle w:val="Compact"/>
              <w:jc w:val="left"/>
            </w:pPr>
            <w:r>
              <w:t xml:space="preserve">CP</w:t>
            </w:r>
          </w:p>
        </w:tc>
        <w:tc>
          <w:tcPr/>
          <w:p>
            <w:pPr>
              <w:pStyle w:val="Compact"/>
              <w:jc w:val="left"/>
            </w:pPr>
            <w:r>
              <w:t xml:space="preserve">A merely succession-based causal model, with C but no corresponding D.</w:t>
            </w:r>
          </w:p>
        </w:tc>
        <w:tc>
          <w:tcPr/>
          <w:p>
            <w:pPr>
              <w:pStyle w:val="Compact"/>
              <w:jc w:val="left"/>
            </w:pPr>
            <w:r>
              <w:t xml:space="preserve">Causal arrows can coexist with no ontological dependence. Production no longer establishes the Creator–creature interval.</w:t>
            </w:r>
          </w:p>
        </w:tc>
      </w:tr>
      <w:tr>
        <w:tc>
          <w:tcPr/>
          <w:p>
            <w:pPr>
              <w:pStyle w:val="Compact"/>
              <w:jc w:val="left"/>
            </w:pPr>
            <w:r>
              <w:t xml:space="preserve">U</w:t>
            </w:r>
          </w:p>
        </w:tc>
        <w:tc>
          <w:tcPr/>
          <w:p>
            <w:pPr>
              <w:pStyle w:val="Compact"/>
              <w:jc w:val="left"/>
            </w:pPr>
            <w:r>
              <w:t xml:space="preserve">A source whose actuality is grounded in an actual creature, despite its unlimited mode.</w:t>
            </w:r>
          </w:p>
        </w:tc>
        <w:tc>
          <w:tcPr/>
          <w:p>
            <w:pPr>
              <w:pStyle w:val="Compact"/>
              <w:jc w:val="left"/>
            </w:pPr>
            <w:r>
              <w:t xml:space="preserve">An unlimited source may itself depend upon another. A cycle of grounding or divine completion is admitted.</w:t>
            </w:r>
          </w:p>
        </w:tc>
      </w:tr>
      <w:tr>
        <w:tc>
          <w:tcPr/>
          <w:p>
            <w:pPr>
              <w:pStyle w:val="Compact"/>
              <w:jc w:val="left"/>
            </w:pPr>
            <w:r>
              <w:t xml:space="preserve">Q</w:t>
            </w:r>
          </w:p>
        </w:tc>
        <w:tc>
          <w:tcPr/>
          <w:p>
            <w:pPr>
              <w:pStyle w:val="Compact"/>
              <w:jc w:val="left"/>
            </w:pPr>
            <w:r>
              <w:t xml:space="preserve">An opaque source causes a living effect while no corresponding life can be attributed to the source.</w:t>
            </w:r>
          </w:p>
        </w:tc>
        <w:tc>
          <w:tcPr/>
          <w:p>
            <w:pPr>
              <w:pStyle w:val="Compact"/>
              <w:jc w:val="left"/>
            </w:pPr>
            <w:r>
              <w:t xml:space="preserve">An actual causal source can produce the effect’s quality without possessing corresponding perfection. Likeness and manifestation disappear.</w:t>
            </w:r>
          </w:p>
        </w:tc>
      </w:tr>
      <w:tr>
        <w:tc>
          <w:tcPr/>
          <w:p>
            <w:pPr>
              <w:pStyle w:val="Compact"/>
              <w:jc w:val="left"/>
            </w:pPr>
            <w:r>
              <w:t xml:space="preserve">KD</w:t>
            </w:r>
          </w:p>
        </w:tc>
        <w:tc>
          <w:tcPr/>
          <w:p>
            <w:pPr>
              <w:pStyle w:val="Compact"/>
              <w:jc w:val="left"/>
            </w:pPr>
            <w:r>
              <w:t xml:space="preserve">An uncaused but composite deity. Simplicity does not follow from</w:t>
            </w:r>
            <w:r>
              <w:t xml:space="preserve"> </w:t>
            </w:r>
            <w:r>
              <w:t xml:space="preserve">“</w:t>
            </w:r>
            <w:r>
              <w:t xml:space="preserve">uncaused</w:t>
            </w:r>
            <w:r>
              <w:t xml:space="preserve">”</w:t>
            </w:r>
            <w:r>
              <w:t xml:space="preserve"> </w:t>
            </w:r>
            <w:r>
              <w:t xml:space="preserve">alone.</w:t>
            </w:r>
          </w:p>
        </w:tc>
        <w:tc>
          <w:tcPr/>
          <w:p>
            <w:pPr>
              <w:pStyle w:val="Compact"/>
              <w:jc w:val="left"/>
            </w:pPr>
            <w:r>
              <w:t xml:space="preserve">A composite source can simply be stipulated independent of its own intrinsic parts.</w:t>
            </w:r>
          </w:p>
        </w:tc>
      </w:tr>
      <w:tr>
        <w:tc>
          <w:tcPr/>
          <w:p>
            <w:pPr>
              <w:pStyle w:val="Compact"/>
              <w:jc w:val="left"/>
            </w:pPr>
            <w:r>
              <w:t xml:space="preserve">KH</w:t>
            </w:r>
          </w:p>
        </w:tc>
        <w:tc>
          <w:tcPr/>
          <w:p>
            <w:pPr>
              <w:pStyle w:val="Compact"/>
              <w:jc w:val="left"/>
            </w:pPr>
            <w:r>
              <w:t xml:space="preserve">A panentheistic constituent-model: the source belongs to the creature without transferring its unlimited capacity.</w:t>
            </w:r>
          </w:p>
        </w:tc>
        <w:tc>
          <w:tcPr/>
          <w:p>
            <w:pPr>
              <w:pStyle w:val="Compact"/>
              <w:jc w:val="left"/>
            </w:pPr>
            <w:r>
              <w:t xml:space="preserve">An unlimited source may be stipulated an intrinsic constituent of a finite creature.</w:t>
            </w:r>
          </w:p>
        </w:tc>
      </w:tr>
      <w:tr>
        <w:tc>
          <w:tcPr/>
          <w:p>
            <w:pPr>
              <w:pStyle w:val="Compact"/>
              <w:jc w:val="left"/>
            </w:pPr>
            <w:r>
              <w:t xml:space="preserve">FS</w:t>
            </w:r>
          </w:p>
        </w:tc>
        <w:tc>
          <w:tcPr/>
          <w:p>
            <w:pPr>
              <w:pStyle w:val="Compact"/>
              <w:jc w:val="left"/>
            </w:pPr>
            <w:r>
              <w:t xml:space="preserve">A finite ultimate artisan: underivation and noncomposition remain, but inexhaustibility does not.</w:t>
            </w:r>
          </w:p>
        </w:tc>
        <w:tc>
          <w:tcPr/>
          <w:p>
            <w:pPr>
              <w:pStyle w:val="Compact"/>
              <w:jc w:val="left"/>
            </w:pPr>
            <w:r>
              <w:t xml:space="preserve">An underived, simple, finite source is possible; some finite expression can match its measure.</w:t>
            </w:r>
          </w:p>
        </w:tc>
      </w:tr>
      <w:tr>
        <w:tc>
          <w:tcPr/>
          <w:p>
            <w:pPr>
              <w:pStyle w:val="Compact"/>
              <w:jc w:val="left"/>
            </w:pPr>
            <w:r>
              <w:t xml:space="preserve">FC</w:t>
            </w:r>
          </w:p>
        </w:tc>
        <w:tc>
          <w:tcPr/>
          <w:p>
            <w:pPr>
              <w:pStyle w:val="Compact"/>
              <w:jc w:val="left"/>
            </w:pPr>
            <w:r>
              <w:t xml:space="preserve">An unlimited derived effect that matches the source’s measure without becoming numerically identical.</w:t>
            </w:r>
          </w:p>
        </w:tc>
        <w:tc>
          <w:tcPr/>
          <w:p>
            <w:pPr>
              <w:pStyle w:val="Compact"/>
              <w:jc w:val="left"/>
            </w:pPr>
            <w:r>
              <w:t xml:space="preserve">An other can possess the source’s unlimited measure. Nonidentity survives, but finite non-exhaustion is lost.</w:t>
            </w:r>
          </w:p>
        </w:tc>
      </w:tr>
      <w:tr>
        <w:tc>
          <w:tcPr/>
          <w:p>
            <w:pPr>
              <w:pStyle w:val="Compact"/>
              <w:jc w:val="left"/>
            </w:pPr>
            <w:r>
              <w:t xml:space="preserve">X</w:t>
            </w:r>
          </w:p>
        </w:tc>
        <w:tc>
          <w:tcPr/>
          <w:p>
            <w:pPr>
              <w:pStyle w:val="Compact"/>
              <w:jc w:val="left"/>
            </w:pPr>
            <w:r>
              <w:t xml:space="preserve">An intrinsically responsive deity. Independence within each possible world does not establish the same intrinsic actuality across different possible worlds.</w:t>
            </w:r>
          </w:p>
        </w:tc>
        <w:tc>
          <w:tcPr/>
          <w:p>
            <w:pPr>
              <w:pStyle w:val="Compact"/>
              <w:jc w:val="left"/>
            </w:pPr>
            <w:r>
              <w:t xml:space="preserve">Different created histories may be correlated with different intrinsic states of the source, without those effects grounding the source’s actuality within either possible world.</w:t>
            </w:r>
          </w:p>
        </w:tc>
      </w:tr>
    </w:tbl>
    <w:p>
      <w:pPr>
        <w:pStyle w:val="BodyText"/>
      </w:pPr>
      <w:r>
        <w:t xml:space="preserve">The formal dossier supplies actual sparse valuations for all nine clauses. The accompanying evaluator independently interprets H, C, D, K, modes, and the source profile; it checks every retained clause rather than storing axiom truth flags. These are model-relative independence witnesses, not proofs that rival universes satisfy every defensible metaphysical principle.</w:t>
      </w:r>
    </w:p>
    <w:p>
      <w:pPr>
        <w:pStyle w:val="BodyText"/>
      </w:pPr>
      <w:r>
        <w:t xml:space="preserve">Primitive deletion tests are information-loss tests: without C, productive causality is indistinguishable from other grounding; without D, the grounding consequence is unrepresented; without H, causal graphs determine no qualitative resemblance; without K, nonconstituency is inexpressible; without intrinsic profile comparison, X is lost; without mode information, finite/infinite distinctions are lost. A was genuinely eliminated. No theorem of undefinability across every possible vocabulary is claimed.</w:t>
      </w:r>
    </w:p>
    <w:bookmarkEnd w:id="35"/>
    <w:bookmarkStart w:id="36" w:name="rival-ontologies-and-modal-test"/>
    <w:p>
      <w:pPr>
        <w:pStyle w:val="Heading2"/>
      </w:pPr>
      <w:r>
        <w:t xml:space="preserve">6. Rival ontologies and modal test</w:t>
      </w:r>
    </w:p>
    <w:tbl>
      <w:tblPr>
        <w:tblStyle w:val="TableGrid"/>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Rival</w:t>
            </w:r>
          </w:p>
        </w:tc>
        <w:tc>
          <w:tcPr/>
          <w:p>
            <w:pPr>
              <w:pStyle w:val="Compact"/>
              <w:jc w:val="left"/>
            </w:pPr>
            <w:r>
              <w:t xml:space="preserve">What discriminates it</w:t>
            </w:r>
          </w:p>
        </w:tc>
      </w:tr>
      <w:tr>
        <w:tc>
          <w:tcPr/>
          <w:p>
            <w:pPr>
              <w:pStyle w:val="Compact"/>
              <w:jc w:val="left"/>
            </w:pPr>
            <w:r>
              <w:t xml:space="preserve">Platonism</w:t>
            </w:r>
          </w:p>
        </w:tc>
        <w:tc>
          <w:tcPr/>
          <w:p>
            <w:pPr>
              <w:pStyle w:val="Compact"/>
              <w:jc w:val="left"/>
            </w:pPr>
            <w:r>
              <w:t xml:space="preserve">Underived actual productive Forms in scope violate G + CP. Inert abstracta remain open; the explanation does not need them.</w:t>
            </w:r>
          </w:p>
        </w:tc>
      </w:tr>
      <w:tr>
        <w:tc>
          <w:tcPr/>
          <w:p>
            <w:pPr>
              <w:pStyle w:val="Compact"/>
              <w:jc w:val="left"/>
            </w:pPr>
            <w:r>
              <w:t xml:space="preserve">Identity-pantheism</w:t>
            </w:r>
          </w:p>
        </w:tc>
        <w:tc>
          <w:tcPr/>
          <w:p>
            <w:pPr>
              <w:pStyle w:val="Compact"/>
              <w:jc w:val="left"/>
            </w:pPr>
            <w:r>
              <w:t xml:space="preserve">CP + U exclude source-caused effects identical with their source. Mode-based substance theories require further inherence analysis.</w:t>
            </w:r>
          </w:p>
        </w:tc>
      </w:tr>
      <w:tr>
        <w:tc>
          <w:tcPr/>
          <w:p>
            <w:pPr>
              <w:pStyle w:val="Compact"/>
              <w:jc w:val="left"/>
            </w:pPr>
            <w:r>
              <w:t xml:space="preserve">Constituent panentheism</w:t>
            </w:r>
          </w:p>
        </w:tc>
        <w:tc>
          <w:tcPr/>
          <w:p>
            <w:pPr>
              <w:pStyle w:val="Compact"/>
              <w:jc w:val="left"/>
            </w:pPr>
            <w:r>
              <w:t xml:space="preserve">KD + U and KH + FS + FC exclude proper mutual incorporation. Other meanings of</w:t>
            </w:r>
            <w:r>
              <w:t xml:space="preserve"> </w:t>
            </w:r>
            <w:r>
              <w:t xml:space="preserve">“</w:t>
            </w:r>
            <w:r>
              <w:t xml:space="preserve">in God</w:t>
            </w:r>
            <w:r>
              <w:t xml:space="preserve">”</w:t>
            </w:r>
            <w:r>
              <w:t xml:space="preserve"> </w:t>
            </w:r>
            <w:r>
              <w:t xml:space="preserve">are not settled by the label.</w:t>
            </w:r>
          </w:p>
        </w:tc>
      </w:tr>
      <w:tr>
        <w:tc>
          <w:tcPr/>
          <w:p>
            <w:pPr>
              <w:pStyle w:val="Compact"/>
              <w:jc w:val="left"/>
            </w:pPr>
            <w:r>
              <w:t xml:space="preserve">Occasionalism</w:t>
            </w:r>
          </w:p>
        </w:tc>
        <w:tc>
          <w:tcPr/>
          <w:p>
            <w:pPr>
              <w:pStyle w:val="Compact"/>
              <w:jc w:val="left"/>
            </w:pPr>
            <w:r>
              <w:t xml:space="preserve">Compatible. Add actual secondary powers and ordered concurrence to establish creaturely agency.</w:t>
            </w:r>
          </w:p>
        </w:tc>
      </w:tr>
      <w:tr>
        <w:tc>
          <w:tcPr/>
          <w:p>
            <w:pPr>
              <w:pStyle w:val="Compact"/>
              <w:jc w:val="left"/>
            </w:pPr>
            <w:r>
              <w:t xml:space="preserve">Necessary emanation</w:t>
            </w:r>
          </w:p>
        </w:tc>
        <w:tc>
          <w:tcPr/>
          <w:p>
            <w:pPr>
              <w:pStyle w:val="Compact"/>
              <w:jc w:val="left"/>
            </w:pPr>
            <w:r>
              <w:t xml:space="preserve">Compatible. An unlimited source may necessitate a finite non-exhaustive effect. Alternatives are extra.</w:t>
            </w:r>
          </w:p>
        </w:tc>
      </w:tr>
      <w:tr>
        <w:tc>
          <w:tcPr/>
          <w:p>
            <w:pPr>
              <w:pStyle w:val="Compact"/>
              <w:jc w:val="left"/>
            </w:pPr>
            <w:r>
              <w:t xml:space="preserve">Deism</w:t>
            </w:r>
          </w:p>
        </w:tc>
        <w:tc>
          <w:tcPr/>
          <w:p>
            <w:pPr>
              <w:pStyle w:val="Compact"/>
              <w:jc w:val="left"/>
            </w:pPr>
            <w:r>
              <w:t xml:space="preserve">G, interpreted as present existential sustenance, excludes detached effects. Historical production alone is insufficient.</w:t>
            </w:r>
          </w:p>
        </w:tc>
      </w:tr>
      <w:tr>
        <w:tc>
          <w:tcPr/>
          <w:p>
            <w:pPr>
              <w:pStyle w:val="Compact"/>
              <w:jc w:val="left"/>
            </w:pPr>
            <w:r>
              <w:t xml:space="preserve">Absolute idealism</w:t>
            </w:r>
          </w:p>
        </w:tc>
        <w:tc>
          <w:tcPr/>
          <w:p>
            <w:pPr>
              <w:pStyle w:val="Compact"/>
              <w:jc w:val="left"/>
            </w:pPr>
            <w:r>
              <w:t xml:space="preserve">Identity versions fail; genuinely other mental effects are not excluded without additional ontology.</w:t>
            </w:r>
          </w:p>
        </w:tc>
      </w:tr>
      <w:tr>
        <w:tc>
          <w:tcPr/>
          <w:p>
            <w:pPr>
              <w:pStyle w:val="Compact"/>
              <w:jc w:val="left"/>
            </w:pPr>
            <w:r>
              <w:t xml:space="preserve">Immanent causality</w:t>
            </w:r>
          </w:p>
        </w:tc>
        <w:tc>
          <w:tcPr/>
          <w:p>
            <w:pPr>
              <w:pStyle w:val="Compact"/>
              <w:jc w:val="left"/>
            </w:pPr>
            <w:r>
              <w:t xml:space="preserve">Fits generic causal grammar. The substantive underived/unbounded source profile provides the theological discrimination.</w:t>
            </w:r>
          </w:p>
        </w:tc>
      </w:tr>
    </w:tbl>
    <w:p>
      <w:pPr>
        <w:pStyle w:val="BodyText"/>
      </w:pPr>
      <w:r>
        <w:t xml:space="preserve">Non-exhaustion supplies a negative opening: no finite effect necessitates creation by adequately measuring or completing unlimited fullness. It does not exclude other necessitating rules. To derive contingency of each finite expression, require an accessible same-fullness world lacking that expression; a no-creation world is a stronger sufficient premise. Two merely different created worlds can share a necessary effect a. The evaluator includes exactly this counterexample.</w:t>
      </w:r>
    </w:p>
    <w:p>
      <w:pPr>
        <w:pStyle w:val="BodyText"/>
      </w:pPr>
      <w:r>
        <w:t xml:space="preserve">Intentional freedom additionally requires intelligent self-determination without necessity from intrinsic nature, external dependence, lack, or a unique-maximization rule. Intentionality alone does not imply libertarian freedom; modal alternatives alone could be stochastic. This is an extension, not a proof from infinity. Distinguishing God’s intrinsic actuality from differences in what God wills is a proposed account of divine agency. It still needs to explain why creation is free and what makes a particular act of willing real.</w:t>
      </w:r>
    </w:p>
    <w:bookmarkEnd w:id="36"/>
    <w:bookmarkStart w:id="37" w:name="philosophy-and-christian-commitments"/>
    <w:p>
      <w:pPr>
        <w:pStyle w:val="Heading2"/>
      </w:pPr>
      <w:r>
        <w:t xml:space="preserve">7. Philosophy and Christian commitments</w:t>
      </w:r>
    </w:p>
    <w:p>
      <w:pPr>
        <w:pStyle w:val="FirstParagraph"/>
      </w:pPr>
      <w:r>
        <w:t xml:space="preserve">The philosophical reconstruction establishes conditional consequences, not revealed doctrine. Christian interpretation supplies or constrains Creator–creature distinction, ex nihilo, divine nondependence, real finite goodness, transcendence, real divine causality, and intelligent free creation. Ex nihilo means no uncreated material co-source or divine material; it need not entail a temporal beginning. Universal present dependence is not by itself a complete explanation of production without material.</w:t>
      </w:r>
    </w:p>
    <w:p>
      <w:pPr>
        <w:pStyle w:val="BodyText"/>
      </w:pPr>
      <w:r>
        <w:t xml:space="preserve">The tradition’s explanatory models include essence–esse, act/potency, divine ideas, logoi, formalities, essence–energies, analogy, and mixed relations. Their differences are not uniformly dogmatic and can genuinely conflict. Actual secondary causality must be added: C(g,a,q) and C(b,a,q) can coexist without source–creature rivalry. Compatibility alone does not prove that the secondary cause operates.</w:t>
      </w:r>
    </w:p>
    <w:bookmarkEnd w:id="37"/>
    <w:bookmarkStart w:id="38" w:name="historical-genealogy"/>
    <w:p>
      <w:pPr>
        <w:pStyle w:val="Heading2"/>
      </w:pPr>
      <w:r>
        <w:t xml:space="preserve">8. Historical genealogy</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Witness / locus</w:t>
            </w:r>
          </w:p>
        </w:tc>
        <w:tc>
          <w:tcPr/>
          <w:p>
            <w:pPr>
              <w:pStyle w:val="Compact"/>
              <w:jc w:val="left"/>
            </w:pPr>
            <w:r>
              <w:t xml:space="preserve">Contribution</w:t>
            </w:r>
          </w:p>
        </w:tc>
        <w:tc>
          <w:tcPr/>
          <w:p>
            <w:pPr>
              <w:pStyle w:val="Compact"/>
              <w:jc w:val="left"/>
            </w:pPr>
            <w:r>
              <w:t xml:space="preserve">Unresolved difference</w:t>
            </w:r>
          </w:p>
        </w:tc>
      </w:tr>
      <w:tr>
        <w:tc>
          <w:tcPr/>
          <w:p>
            <w:pPr>
              <w:pStyle w:val="Compact"/>
              <w:jc w:val="left"/>
            </w:pPr>
            <w:r>
              <w:t xml:space="preserve">Plato &amp; Aristotle — Parmenides 130e–131e; Timaeus 28a–29b; Metaphysics Λ.7, 1072b</w:t>
            </w:r>
          </w:p>
        </w:tc>
        <w:tc>
          <w:tcPr/>
          <w:p>
            <w:pPr>
              <w:pStyle w:val="Compact"/>
              <w:jc w:val="left"/>
            </w:pPr>
            <w:r>
              <w:t xml:space="preserve">The whole/part problem makes</w:t>
            </w:r>
            <w:r>
              <w:t xml:space="preserve"> </w:t>
            </w:r>
            <w:r>
              <w:t xml:space="preserve">“</w:t>
            </w:r>
            <w:r>
              <w:t xml:space="preserve">sharing</w:t>
            </w:r>
            <w:r>
              <w:t xml:space="preserve">”</w:t>
            </w:r>
            <w:r>
              <w:t xml:space="preserve"> </w:t>
            </w:r>
            <w:r>
              <w:t xml:space="preserve">dangerous; exemplarity and different causal orders make it intelligible.</w:t>
            </w:r>
          </w:p>
        </w:tc>
        <w:tc>
          <w:tcPr/>
          <w:p>
            <w:pPr>
              <w:pStyle w:val="Compact"/>
              <w:jc w:val="left"/>
            </w:pPr>
            <w:r>
              <w:t xml:space="preserve">Aristotelian causal priority does not itself deliver Christian ex nihilo or universal sustaining causality.</w:t>
            </w:r>
          </w:p>
        </w:tc>
      </w:tr>
      <w:tr>
        <w:tc>
          <w:tcPr/>
          <w:p>
            <w:pPr>
              <w:pStyle w:val="Compact"/>
              <w:jc w:val="left"/>
            </w:pPr>
            <w:r>
              <w:t xml:space="preserve">Plotinus &amp; Proclus — Enneads V.2.1; VI.9.3; Elements of Theology props. 23, 26–30</w:t>
            </w:r>
          </w:p>
        </w:tc>
        <w:tc>
          <w:tcPr/>
          <w:p>
            <w:pPr>
              <w:pStyle w:val="Compact"/>
              <w:jc w:val="left"/>
            </w:pPr>
            <w:r>
              <w:t xml:space="preserve">One source, undivided presence, procession and return offer resources for nonpartition and causal excess.</w:t>
            </w:r>
          </w:p>
        </w:tc>
        <w:tc>
          <w:tcPr/>
          <w:p>
            <w:pPr>
              <w:pStyle w:val="Compact"/>
              <w:jc w:val="left"/>
            </w:pPr>
            <w:r>
              <w:t xml:space="preserve">Necessary procession is a live rival to free creation. Similar vocabulary cannot erase this modal difference.</w:t>
            </w:r>
          </w:p>
        </w:tc>
      </w:tr>
      <w:tr>
        <w:tc>
          <w:tcPr/>
          <w:p>
            <w:pPr>
              <w:pStyle w:val="Compact"/>
              <w:jc w:val="left"/>
            </w:pPr>
            <w:r>
              <w:t xml:space="preserve">Gregory of Nyssa &amp; Augustine — Life of Moses II.230–239; City of God XI.10; De diversis quaestionibus 83, q.46</w:t>
            </w:r>
          </w:p>
        </w:tc>
        <w:tc>
          <w:tcPr/>
          <w:p>
            <w:pPr>
              <w:pStyle w:val="Compact"/>
              <w:jc w:val="left"/>
            </w:pPr>
            <w:r>
              <w:t xml:space="preserve">Nyssen inexhaustible participation and Augustine’s non-acquired wisdom distinguish received finite perfection from source actuality.</w:t>
            </w:r>
          </w:p>
        </w:tc>
        <w:tc>
          <w:tcPr/>
          <w:p>
            <w:pPr>
              <w:pStyle w:val="Compact"/>
              <w:jc w:val="left"/>
            </w:pPr>
            <w:r>
              <w:t xml:space="preserve">Epektasis does not become a proof of divine infinity by being renamed</w:t>
            </w:r>
            <w:r>
              <w:t xml:space="preserve"> </w:t>
            </w:r>
            <w:r>
              <w:t xml:space="preserve">“</w:t>
            </w:r>
            <w:r>
              <w:t xml:space="preserve">non-exhaustion.</w:t>
            </w:r>
            <w:r>
              <w:t xml:space="preserve">”</w:t>
            </w:r>
            <w:r>
              <w:t xml:space="preserve"> </w:t>
            </w:r>
            <w:r>
              <w:t xml:space="preserve">Augustine’s divine ideas are not independent substances.</w:t>
            </w:r>
          </w:p>
        </w:tc>
      </w:tr>
      <w:tr>
        <w:tc>
          <w:tcPr/>
          <w:p>
            <w:pPr>
              <w:pStyle w:val="Compact"/>
              <w:jc w:val="left"/>
            </w:pPr>
            <w:r>
              <w:t xml:space="preserve">Dionysius &amp; Maximus — Divine Names II.5, V.8, IX.6; Ambiguum 7, PG 91, 1080A–1085B</w:t>
            </w:r>
          </w:p>
        </w:tc>
        <w:tc>
          <w:tcPr/>
          <w:p>
            <w:pPr>
              <w:pStyle w:val="Compact"/>
              <w:jc w:val="left"/>
            </w:pPr>
            <w:r>
              <w:t xml:space="preserve">Effects can truly exhibit causal likeness without reproducing the source’s mode. Logoi distinguish intelligible reasons from contingent realization.</w:t>
            </w:r>
          </w:p>
        </w:tc>
        <w:tc>
          <w:tcPr/>
          <w:p>
            <w:pPr>
              <w:pStyle w:val="Compact"/>
              <w:jc w:val="left"/>
            </w:pPr>
            <w:r>
              <w:t xml:space="preserve">Dionysian procession is not automatically necessitarian. Maximus’s willing logoi are not a many-part divine interior.</w:t>
            </w:r>
          </w:p>
        </w:tc>
      </w:tr>
      <w:tr>
        <w:tc>
          <w:tcPr/>
          <w:p>
            <w:pPr>
              <w:pStyle w:val="Compact"/>
              <w:jc w:val="left"/>
            </w:pPr>
            <w:r>
              <w:t xml:space="preserve">Eriugena &amp; Cusa — Periphyseon I.446D, I.455B; De docta ignorantia I.2, II.3</w:t>
            </w:r>
          </w:p>
        </w:tc>
        <w:tc>
          <w:tcPr/>
          <w:p>
            <w:pPr>
              <w:pStyle w:val="Compact"/>
              <w:jc w:val="left"/>
            </w:pPr>
            <w:r>
              <w:t xml:space="preserve">Manifestation and enfolding explain why source transcendence need not be remoteness.</w:t>
            </w:r>
          </w:p>
        </w:tc>
        <w:tc>
          <w:tcPr/>
          <w:p>
            <w:pPr>
              <w:pStyle w:val="Compact"/>
              <w:jc w:val="left"/>
            </w:pPr>
            <w:r>
              <w:t xml:space="preserve">Retrieve them only with causal asymmetry and nonconstitution guards. Interpretive pressures toward divine self-constitution must remain visible.</w:t>
            </w:r>
          </w:p>
        </w:tc>
      </w:tr>
      <w:tr>
        <w:tc>
          <w:tcPr/>
          <w:p>
            <w:pPr>
              <w:pStyle w:val="Compact"/>
              <w:jc w:val="left"/>
            </w:pPr>
            <w:r>
              <w:t xml:space="preserve">Anselm &amp; Bonaventure — Monologion 17, 31, 34; Itinerarium II.11–13, III.1–3, VI.2</w:t>
            </w:r>
          </w:p>
        </w:tc>
        <w:tc>
          <w:tcPr/>
          <w:p>
            <w:pPr>
              <w:pStyle w:val="Compact"/>
              <w:jc w:val="left"/>
            </w:pPr>
            <w:r>
              <w:t xml:space="preserve">Composition depends on constituents; mutable likeness does not supply the exemplar’s actuality. Vestige, image, and similitude discriminate forms of expression.</w:t>
            </w:r>
          </w:p>
        </w:tc>
        <w:tc>
          <w:tcPr/>
          <w:p>
            <w:pPr>
              <w:pStyle w:val="Compact"/>
              <w:jc w:val="left"/>
            </w:pPr>
            <w:r>
              <w:t xml:space="preserve">Bonaventure’s diffusion of goodness concerns necessary trinitarian fecundity in VI.2; it is not a proof of necessary creation.</w:t>
            </w:r>
          </w:p>
        </w:tc>
      </w:tr>
      <w:tr>
        <w:tc>
          <w:tcPr/>
          <w:p>
            <w:pPr>
              <w:pStyle w:val="Compact"/>
              <w:jc w:val="left"/>
            </w:pPr>
            <w:r>
              <w:t xml:space="preserve">Henry of Ghent &amp; Scotus — Henry: Summa art.21 q.4, art.24 q.3; Scotus: Ordinatio I d.2 p.1 qq.1–2, I d.35, I d.39</w:t>
            </w:r>
          </w:p>
        </w:tc>
        <w:tc>
          <w:tcPr/>
          <w:p>
            <w:pPr>
              <w:pStyle w:val="Compact"/>
              <w:jc w:val="left"/>
            </w:pPr>
            <w:r>
              <w:t xml:space="preserve">Possible intelligibility and actual production need not be one operation. Divine cognition and volition demand careful modal distinctions.</w:t>
            </w:r>
          </w:p>
        </w:tc>
        <w:tc>
          <w:tcPr/>
          <w:p>
            <w:pPr>
              <w:pStyle w:val="Compact"/>
              <w:jc w:val="left"/>
            </w:pPr>
            <w:r>
              <w:t xml:space="preserve">Henry’s necessary possible-essence hierarchy and Scotus’s formal distinction are not interchangeable. Univocity of being is not a common natural genus.</w:t>
            </w:r>
          </w:p>
        </w:tc>
      </w:tr>
      <w:tr>
        <w:tc>
          <w:tcPr/>
          <w:p>
            <w:pPr>
              <w:pStyle w:val="Compact"/>
              <w:jc w:val="left"/>
            </w:pPr>
            <w:r>
              <w:t xml:space="preserve">Aquinas — ST I qq.3–4, 13, 15; q.44 a.1 ad2; q.45 a.3; q.105 a.5</w:t>
            </w:r>
          </w:p>
        </w:tc>
        <w:tc>
          <w:tcPr/>
          <w:p>
            <w:pPr>
              <w:pStyle w:val="Compact"/>
              <w:jc w:val="left"/>
            </w:pPr>
            <w:r>
              <w:t xml:space="preserve">Necessary beings can still be caused; real creaturely powers can operate under universal divine causality; recipient mode does not migrate into the source.</w:t>
            </w:r>
          </w:p>
        </w:tc>
        <w:tc>
          <w:tcPr/>
          <w:p>
            <w:pPr>
              <w:pStyle w:val="Compact"/>
              <w:jc w:val="left"/>
            </w:pPr>
            <w:r>
              <w:t xml:space="preserve">Participation in esse is a strong witness, not the compulsory vocabulary for the entire tradition. Mixed relations require his relational framework.</w:t>
            </w:r>
          </w:p>
        </w:tc>
      </w:tr>
      <w:tr>
        <w:tc>
          <w:tcPr/>
          <w:p>
            <w:pPr>
              <w:pStyle w:val="Compact"/>
              <w:jc w:val="left"/>
            </w:pPr>
            <w:r>
              <w:t xml:space="preserve">Damascene, Palamas &amp; Przywara — Damascene: On Holy Images III, image-types; Palamas: Triads III.2; Przywara: Analogia Entis</w:t>
            </w:r>
          </w:p>
        </w:tc>
        <w:tc>
          <w:tcPr/>
          <w:p>
            <w:pPr>
              <w:pStyle w:val="Compact"/>
              <w:jc w:val="left"/>
            </w:pPr>
            <w:r>
              <w:t xml:space="preserve">Image kinds, real uncreated communication, and likeness within greater dissimilarity test whether the common grammar is broad enough.</w:t>
            </w:r>
          </w:p>
        </w:tc>
        <w:tc>
          <w:tcPr/>
          <w:p>
            <w:pPr>
              <w:pStyle w:val="Compact"/>
              <w:jc w:val="left"/>
            </w:pPr>
            <w:r>
              <w:t xml:space="preserve">Noncomposition is not</w:t>
            </w:r>
            <w:r>
              <w:t xml:space="preserve"> </w:t>
            </w:r>
            <w:r>
              <w:t xml:space="preserve">“</w:t>
            </w:r>
            <w:r>
              <w:t xml:space="preserve">no real distinction whatsoever.</w:t>
            </w:r>
            <w:r>
              <w:t xml:space="preserve">”</w:t>
            </w:r>
            <w:r>
              <w:t xml:space="preserve"> </w:t>
            </w:r>
            <w:r>
              <w:t xml:space="preserve">Essence–energies and scholastic formalities cannot be erased by a blanket claim that every difference concerns only the effects.</w:t>
            </w:r>
          </w:p>
        </w:tc>
      </w:tr>
      <w:tr>
        <w:tc>
          <w:tcPr/>
          <w:p>
            <w:pPr>
              <w:pStyle w:val="Compact"/>
              <w:jc w:val="left"/>
            </w:pPr>
            <w:r>
              <w:t xml:space="preserve">Newman — Essay on Development, ch. V, opening §4 and §§I–VII</w:t>
            </w:r>
          </w:p>
        </w:tc>
        <w:tc>
          <w:tcPr/>
          <w:p>
            <w:pPr>
              <w:pStyle w:val="Compact"/>
              <w:jc w:val="left"/>
            </w:pPr>
            <w:r>
              <w:t xml:space="preserve">Preservation, continuity, assimilation, sequence, anticipation, conservation, and chronic vigour discipline constructive synthesis.</w:t>
            </w:r>
          </w:p>
        </w:tc>
        <w:tc>
          <w:tcPr/>
          <w:p>
            <w:pPr>
              <w:pStyle w:val="Compact"/>
              <w:jc w:val="left"/>
            </w:pPr>
            <w:r>
              <w:t xml:space="preserve">A new system cannot demonstrate centuries of chronic vigour. Explanatory fruitfulness is a provisional adaptation, not Newman’s exact seventh note.</w:t>
            </w:r>
          </w:p>
        </w:tc>
      </w:tr>
    </w:tbl>
    <w:p>
      <w:pPr>
        <w:pStyle w:val="BodyText"/>
      </w:pPr>
      <w:r>
        <w:t xml:space="preserve">The common problem is finite real sourced likeness without divine material or divine acquisition. The contribution assignments are reasonable reconstructions; the five-family/nine-clause architecture is new. Plato’s whole/part dilemma is a problem, not a Christian solution; necessary procession is a modal rival; Henry’s possible-essence hierarchy is not Scotus’s ontology; Palamite energies are not simply Thomistic distinctions of reason. Retrieve compatible structural insights without harmonizing contradictions.</w:t>
      </w:r>
    </w:p>
    <w:bookmarkEnd w:id="38"/>
    <w:bookmarkStart w:id="39" w:name="newman-style-assessment"/>
    <w:p>
      <w:pPr>
        <w:pStyle w:val="Heading2"/>
      </w:pPr>
      <w:r>
        <w:t xml:space="preserve">9. Newman-style assessment</w:t>
      </w:r>
    </w:p>
    <w:p>
      <w:pPr>
        <w:pStyle w:val="FirstParagraph"/>
      </w:pPr>
      <w:r>
        <w:t xml:space="preserve">Newman’s exact notes in Essay on Development ch. V are preservation of type, continuity of principles, power of assimilation, logical sequence, anticipation of its future, conservative action upon its past, and chronic vigour. He notes their varying cogency, independence, and applicability. The user’s fruitfulness criterion is an analogical adaptation, not his seventh note verbatim.</w:t>
      </w:r>
    </w:p>
    <w:p>
      <w:pPr>
        <w:pStyle w:val="BodyText"/>
      </w:pPr>
      <w:r>
        <w:t xml:space="preserve">The proposal provisionally preserves type and central commitments; assimilates exemplarity, grounding, recipient mode, and nonconstitution; proceeds by explicit bridges; identifies antecedent anticipations without attributing the exact system backward; and conserves genuine achievements. It cannot demonstrate chronic vigour for a new system. Countermodel resilience is preliminary explanatory fruitfulness. Verdict: a candidate development of an explanatory grammar, not an ecclesial certification or a demonstrated reconciliation of every school.</w:t>
      </w:r>
    </w:p>
    <w:bookmarkEnd w:id="39"/>
    <w:bookmarkStart w:id="40" w:name="where-explanation-finally-stops"/>
    <w:p>
      <w:pPr>
        <w:pStyle w:val="Heading2"/>
      </w:pPr>
      <w:r>
        <w:t xml:space="preserve">10. Where Explanation Finally Stops</w:t>
      </w:r>
    </w:p>
    <w:p>
      <w:pPr>
        <w:pStyle w:val="FirstParagraph"/>
      </w:pPr>
      <w:r>
        <w:t xml:space="preserve">The theory is conceptually relational but ontologically asymmetric. Its definitions form no circle: Rec uses C/H; P uses Rec/D; L uses H; E uses P/L; U uses D. Underivation is not defined by participation and does not explain why anything is actual.</w:t>
      </w:r>
    </w:p>
    <w:p>
      <w:pPr>
        <w:pStyle w:val="BodyText"/>
      </w:pPr>
      <w:r>
        <w:t xml:space="preserve">Definitional circularity would be vicious if concepts never acquired independent meaning. Epistemic ascent from effects is not causal production of their source. Explanatory mutual articulation can clarify terms but cannot warrant independent bridges. Ontological dependence is one-way in the relevant source respect under CP + U. God is never explained by creatures in the respect in which their actuality is explained by God.</w:t>
      </w:r>
    </w:p>
    <w:p>
      <w:pPr>
        <w:pStyle w:val="BodyText"/>
      </w:pPr>
      <w:r>
        <w:t xml:space="preserve">“</w:t>
      </w:r>
      <w:r>
        <w:t xml:space="preserve">Unreceived actuality</w:t>
      </w:r>
      <w:r>
        <w:t xml:space="preserve">”</w:t>
      </w:r>
      <w:r>
        <w:t xml:space="preserve"> </w:t>
      </w:r>
      <w:r>
        <w:t xml:space="preserve">is actuality under a negative dependence status, not another mysterious object beyond actuality. The best verdict is a constrained primitive network terminating asymmetrically, rather than a proof by virtuous circle. Actuality remains primitive in real realization; causation, qualitative content, constituency, mode, and intrinsic/modal distinctions remain independently assessed. Putting all of them inside an enriched dependence predicate would relocate the explanation.</w:t>
      </w:r>
    </w:p>
    <w:bookmarkEnd w:id="40"/>
    <w:bookmarkStart w:id="41" w:name="the-whole-account-in-ordinary-english"/>
    <w:p>
      <w:pPr>
        <w:pStyle w:val="Heading2"/>
      </w:pPr>
      <w:r>
        <w:t xml:space="preserve">11. The whole account in ordinary English</w:t>
      </w:r>
    </w:p>
    <w:p>
      <w:pPr>
        <w:pStyle w:val="FirstParagraph"/>
      </w:pPr>
      <w:r>
        <w:t xml:space="preserve">A finite being can receive real actuality from a source and express that source in its own mode. If the source is underived and unlimited, composition would make it dependent, and it cannot be an intrinsic constituent of bounded actuality. Many finite effects need not divide, complete, or change its intrinsic fullness. The receiver’s measure measures the reception, not the source. This grammar supplies neither source existence nor free creation by itself: those require further arguments.</w:t>
      </w:r>
    </w:p>
    <w:p>
      <w:pPr>
        <w:pStyle w:val="BodyText"/>
      </w:pPr>
      <w:r>
        <w:t xml:space="preserve">The</w:t>
      </w:r>
      <w:r>
        <w:t xml:space="preserve"> </w:t>
      </w:r>
      <w:r>
        <w:t xml:space="preserve">“</w:t>
      </w:r>
      <w:r>
        <w:t xml:space="preserve">third way</w:t>
      </w:r>
      <w:r>
        <w:t xml:space="preserve">”</w:t>
      </w:r>
      <w:r>
        <w:t xml:space="preserve"> </w:t>
      </w:r>
      <w:r>
        <w:t xml:space="preserve">is a combination of asymmetric dependence, productive causation, qualitative likeness, and finite reception. Creator and creature are genuinely different. Difference need not entail distance, intimacy identity, likeness genus, dependence rivalry, presence constitution, or communication division. This is not</w:t>
      </w:r>
      <w:r>
        <w:t xml:space="preserve"> </w:t>
      </w:r>
      <w:r>
        <w:t xml:space="preserve">“</w:t>
      </w:r>
      <w:r>
        <w:t xml:space="preserve">neither identical nor different.</w:t>
      </w:r>
      <w:r>
        <w:t xml:space="preserve">”</w:t>
      </w:r>
    </w:p>
    <w:bookmarkEnd w:id="41"/>
    <w:bookmarkStart w:id="42" w:name="final-formal-statement"/>
    <w:p>
      <w:pPr>
        <w:pStyle w:val="Heading2"/>
      </w:pPr>
      <w:r>
        <w:t xml:space="preserve">12. Final formal statement</w:t>
      </w:r>
    </w:p>
    <w:p>
      <w:pPr>
        <w:pStyle w:val="SourceCode"/>
      </w:pPr>
      <w:r>
        <w:rPr>
          <w:rStyle w:val="VerbatimChar"/>
        </w:rPr>
        <w:t xml:space="preserve">Primitives: C, D, H, K, J; disclosed worlds, indices and ordered modes.</w:t>
      </w:r>
      <w:r>
        <w:br/>
      </w:r>
      <w:r>
        <w:rPr>
          <w:rStyle w:val="VerbatimChar"/>
        </w:rPr>
        <w:t xml:space="preserve">A(x) := ∃m H(x,e,m); μₑ(x) := its complete mode.</w:t>
      </w:r>
      <w:r>
        <w:br/>
      </w:r>
      <w:r>
        <w:rPr>
          <w:rStyle w:val="VerbatimChar"/>
        </w:rPr>
        <w:t xml:space="preserve">Base: G ∧ CP ∧ U ∧ Q ∧ KD ∧ KH ∧ FS ∧ FC ∧ X.</w:t>
      </w:r>
      <w:r>
        <w:br/>
      </w:r>
      <w:r>
        <w:rPr>
          <w:rStyle w:val="VerbatimChar"/>
        </w:rPr>
        <w:t xml:space="preserve">Rec(x,q,g) := C(g,x,q) ∧ ∃m H(x,q,m).</w:t>
      </w:r>
      <w:r>
        <w:br/>
      </w:r>
      <w:r>
        <w:rPr>
          <w:rStyle w:val="VerbatimChar"/>
        </w:rPr>
        <w:t xml:space="preserve">P(x,g,q) := Rec(x,q,g) ∧ D(x,g,q).</w:t>
      </w:r>
      <w:r>
        <w:br/>
      </w:r>
      <w:r>
        <w:rPr>
          <w:rStyle w:val="VerbatimChar"/>
        </w:rPr>
        <w:t xml:space="preserve">L(x,g,q) := ∃m,n [H(x,q,m) ∧ H(g,q,n)].</w:t>
      </w:r>
      <w:r>
        <w:br/>
      </w:r>
      <w:r>
        <w:rPr>
          <w:rStyle w:val="VerbatimChar"/>
        </w:rPr>
        <w:t xml:space="preserve">Rec ⇒ P by CP; P ⇒ L by Q; P ⇒ x≠g by U.</w:t>
      </w:r>
      <w:r>
        <w:br/>
      </w:r>
      <w:r>
        <w:rPr>
          <w:rStyle w:val="VerbatimChar"/>
        </w:rPr>
        <w:t xml:space="preserve">K(z,g) ⇒ D(g,z,e), contradicting U.</w:t>
      </w:r>
      <w:r>
        <w:br/>
      </w:r>
      <w:r>
        <w:rPr>
          <w:rStyle w:val="VerbatimChar"/>
        </w:rPr>
        <w:t xml:space="preserve">K(g,x) ⇒ μₑ(g)≤μₑ(x), contradicting FS + FC.</w:t>
      </w:r>
      <w:r>
        <w:br/>
      </w:r>
      <w:r>
        <w:rPr>
          <w:rStyle w:val="VerbatimChar"/>
        </w:rPr>
        <w:t xml:space="preserve">finite x ⇒ μₑ(x)&lt;μₑ(g), by FS + FC.</w:t>
      </w:r>
      <w:r>
        <w:br/>
      </w:r>
      <w:r>
        <w:rPr>
          <w:rStyle w:val="VerbatimChar"/>
        </w:rPr>
        <w:t xml:space="preserve">Strong genus exclusion requires N.</w:t>
      </w:r>
      <w:r>
        <w:br/>
      </w:r>
      <w:r>
        <w:rPr>
          <w:rStyle w:val="VerbatimChar"/>
        </w:rPr>
        <w:t xml:space="preserve">Universal finite contingency requires accessible same-fullness omission alternatives.</w:t>
      </w:r>
      <w:r>
        <w:br/>
      </w:r>
      <w:r>
        <w:rPr>
          <w:rStyle w:val="VerbatimChar"/>
        </w:rPr>
        <w:t xml:space="preserve">Intentional freedom additionally requires unnecessitated intelligent selection.</w:t>
      </w:r>
    </w:p>
    <w:bookmarkEnd w:id="42"/>
    <w:bookmarkStart w:id="65" w:name="evidence-and-reading-paths"/>
    <w:p>
      <w:pPr>
        <w:pStyle w:val="Heading2"/>
      </w:pPr>
      <w:r>
        <w:t xml:space="preserve">Evidence and reading paths</w:t>
      </w:r>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Source</w:t>
            </w:r>
          </w:p>
        </w:tc>
        <w:tc>
          <w:tcPr/>
          <w:p>
            <w:pPr>
              <w:pStyle w:val="Compact"/>
              <w:jc w:val="left"/>
            </w:pPr>
            <w:r>
              <w:t xml:space="preserve">Status</w:t>
            </w:r>
          </w:p>
        </w:tc>
        <w:tc>
          <w:tcPr/>
          <w:p>
            <w:pPr>
              <w:pStyle w:val="Compact"/>
              <w:jc w:val="left"/>
            </w:pPr>
            <w:r>
              <w:t xml:space="preserve">Consultation / limits</w:t>
            </w:r>
          </w:p>
        </w:tc>
      </w:tr>
      <w:tr>
        <w:tc>
          <w:tcPr/>
          <w:p>
            <w:pPr>
              <w:pStyle w:val="Compact"/>
              <w:jc w:val="left"/>
            </w:pPr>
            <w:hyperlink r:id="rId43">
              <w:r>
                <w:rPr>
                  <w:rStyle w:val="Hyperlink"/>
                </w:rPr>
                <w:t xml:space="preserve">Aristotle, Metaphysics</w:t>
              </w:r>
            </w:hyperlink>
          </w:p>
        </w:tc>
        <w:tc>
          <w:tcPr/>
          <w:p>
            <w:pPr>
              <w:pStyle w:val="Compact"/>
              <w:jc w:val="left"/>
            </w:pPr>
            <w:r>
              <w:t xml:space="preserve">primary</w:t>
            </w:r>
          </w:p>
        </w:tc>
        <w:tc>
          <w:tcPr/>
          <w:p>
            <w:pPr>
              <w:pStyle w:val="Compact"/>
              <w:jc w:val="left"/>
            </w:pPr>
            <w:r>
              <w:t xml:space="preserve">Hugh Tredennick, Perseus digital XML; selected passages consulted with Bekker milestones. Causal orders, being not a genus, and actuality-priority supply background; none independently yields Christian creation.</w:t>
            </w:r>
          </w:p>
        </w:tc>
      </w:tr>
      <w:tr>
        <w:tc>
          <w:tcPr/>
          <w:p>
            <w:pPr>
              <w:pStyle w:val="Compact"/>
              <w:jc w:val="left"/>
            </w:pPr>
            <w:hyperlink r:id="rId44">
              <w:r>
                <w:rPr>
                  <w:rStyle w:val="Hyperlink"/>
                </w:rPr>
                <w:t xml:space="preserve">Plotinus, Enneads</w:t>
              </w:r>
            </w:hyperlink>
          </w:p>
        </w:tc>
        <w:tc>
          <w:tcPr/>
          <w:p>
            <w:pPr>
              <w:pStyle w:val="Compact"/>
              <w:jc w:val="left"/>
            </w:pPr>
            <w:r>
              <w:t xml:space="preserve">primary</w:t>
            </w:r>
          </w:p>
        </w:tc>
        <w:tc>
          <w:tcPr/>
          <w:p>
            <w:pPr>
              <w:pStyle w:val="Compact"/>
              <w:jc w:val="left"/>
            </w:pPr>
            <w:r>
              <w:t xml:space="preserve">Kenneth Sylvan Guthrie, older translation, GITenberg volume I; selected treatises consulted. V.2.1 and VI.9 clarify nonpartition; V.1.6 supplies modal pressure. Armstrong’s critical edition remains a follow-up.</w:t>
            </w:r>
          </w:p>
        </w:tc>
      </w:tr>
      <w:tr>
        <w:tc>
          <w:tcPr/>
          <w:p>
            <w:pPr>
              <w:pStyle w:val="Compact"/>
              <w:jc w:val="left"/>
            </w:pPr>
            <w:hyperlink r:id="rId45">
              <w:r>
                <w:rPr>
                  <w:rStyle w:val="Hyperlink"/>
                </w:rPr>
                <w:t xml:space="preserve">Gregory of Nyssa, On the Making of Man XVI</w:t>
              </w:r>
            </w:hyperlink>
          </w:p>
        </w:tc>
        <w:tc>
          <w:tcPr/>
          <w:p>
            <w:pPr>
              <w:pStyle w:val="Compact"/>
              <w:jc w:val="left"/>
            </w:pPr>
            <w:r>
              <w:t xml:space="preserve">primary</w:t>
            </w:r>
          </w:p>
        </w:tc>
        <w:tc>
          <w:tcPr/>
          <w:p>
            <w:pPr>
              <w:pStyle w:val="Compact"/>
              <w:jc w:val="left"/>
            </w:pPr>
            <w:r>
              <w:t xml:space="preserve">Moore / Wilson translation, Standard Ebooks transcription; edition provenance checked. Likeness in attributes, created–uncreated difference, and creaturely measure are directly verified. Life of Moses remains a separate unconsulted lead.</w:t>
            </w:r>
          </w:p>
        </w:tc>
      </w:tr>
      <w:tr>
        <w:tc>
          <w:tcPr/>
          <w:p>
            <w:pPr>
              <w:pStyle w:val="Compact"/>
              <w:jc w:val="left"/>
            </w:pPr>
            <w:hyperlink r:id="rId46">
              <w:r>
                <w:rPr>
                  <w:rStyle w:val="Hyperlink"/>
                </w:rPr>
                <w:t xml:space="preserve">Dionysius, Divine Names</w:t>
              </w:r>
            </w:hyperlink>
          </w:p>
        </w:tc>
        <w:tc>
          <w:tcPr/>
          <w:p>
            <w:pPr>
              <w:pStyle w:val="Compact"/>
              <w:jc w:val="left"/>
            </w:pPr>
            <w:r>
              <w:t xml:space="preserve">primary</w:t>
            </w:r>
          </w:p>
        </w:tc>
        <w:tc>
          <w:tcPr/>
          <w:p>
            <w:pPr>
              <w:pStyle w:val="Compact"/>
              <w:jc w:val="left"/>
            </w:pPr>
            <w:r>
              <w:t xml:space="preserve">Calfa / GREgORI academic PG 3 Greek OCR, unproofread; selected clauses consulted. II.5, V.8, IX.6–7 support nonpartition and recipient-mode. OCR was not collated with a critical edition; exact wording remains provisional.</w:t>
            </w:r>
          </w:p>
        </w:tc>
      </w:tr>
      <w:tr>
        <w:tc>
          <w:tcPr/>
          <w:p>
            <w:pPr>
              <w:pStyle w:val="Compact"/>
              <w:jc w:val="left"/>
            </w:pPr>
            <w:hyperlink r:id="rId47">
              <w:r>
                <w:rPr>
                  <w:rStyle w:val="Hyperlink"/>
                </w:rPr>
                <w:t xml:space="preserve">Maximus, Ambiguum 7</w:t>
              </w:r>
            </w:hyperlink>
          </w:p>
        </w:tc>
        <w:tc>
          <w:tcPr/>
          <w:p>
            <w:pPr>
              <w:pStyle w:val="Compact"/>
              <w:jc w:val="left"/>
            </w:pPr>
            <w:r>
              <w:t xml:space="preserve">primary</w:t>
            </w:r>
          </w:p>
        </w:tc>
        <w:tc>
          <w:tcPr/>
          <w:p>
            <w:pPr>
              <w:pStyle w:val="Compact"/>
              <w:jc w:val="left"/>
            </w:pPr>
            <w:r>
              <w:t xml:space="preserve">Provisional Greek transcription mirror; source edition undocumented. Selected passage consulted. The passage distinguishes logoi/preknowledge from created actualization. Reliable Constas-edition verification remains pending.</w:t>
            </w:r>
          </w:p>
        </w:tc>
      </w:tr>
      <w:tr>
        <w:tc>
          <w:tcPr/>
          <w:p>
            <w:pPr>
              <w:pStyle w:val="Compact"/>
              <w:jc w:val="left"/>
            </w:pPr>
            <w:hyperlink r:id="rId48">
              <w:r>
                <w:rPr>
                  <w:rStyle w:val="Hyperlink"/>
                </w:rPr>
                <w:t xml:space="preserve">Plato, Parmenides; Timaeus; Republic</w:t>
              </w:r>
            </w:hyperlink>
          </w:p>
        </w:tc>
        <w:tc>
          <w:tcPr/>
          <w:p>
            <w:pPr>
              <w:pStyle w:val="Compact"/>
              <w:jc w:val="left"/>
            </w:pPr>
            <w:r>
              <w:t xml:space="preserve">primary</w:t>
            </w:r>
          </w:p>
        </w:tc>
        <w:tc>
          <w:tcPr/>
          <w:p>
            <w:pPr>
              <w:pStyle w:val="Compact"/>
              <w:jc w:val="left"/>
            </w:pPr>
            <w:r>
              <w:t xml:space="preserve">Benjamin Jowett translations, public-domain Gutenberg mirrors. Read selected passages; antiquated translations. The whole/part dilemma and exemplar language are verified; Greek philology is not supplied by these translations.</w:t>
            </w:r>
          </w:p>
        </w:tc>
      </w:tr>
      <w:tr>
        <w:tc>
          <w:tcPr/>
          <w:p>
            <w:pPr>
              <w:pStyle w:val="Compact"/>
              <w:jc w:val="left"/>
            </w:pPr>
            <w:hyperlink r:id="rId49">
              <w:r>
                <w:rPr>
                  <w:rStyle w:val="Hyperlink"/>
                </w:rPr>
                <w:t xml:space="preserve">Augustine, City of God XI.10</w:t>
              </w:r>
            </w:hyperlink>
          </w:p>
        </w:tc>
        <w:tc>
          <w:tcPr/>
          <w:p>
            <w:pPr>
              <w:pStyle w:val="Compact"/>
              <w:jc w:val="left"/>
            </w:pPr>
            <w:r>
              <w:t xml:space="preserve">primary</w:t>
            </w:r>
          </w:p>
        </w:tc>
        <w:tc>
          <w:tcPr/>
          <w:p>
            <w:pPr>
              <w:pStyle w:val="Compact"/>
              <w:jc w:val="left"/>
            </w:pPr>
            <w:r>
              <w:t xml:space="preserve">Marcus Dods translation, vol. I; Gutenberg #45304. Selected chapter consulted. Simple God</w:t>
            </w:r>
            <w:r>
              <w:t xml:space="preserve"> </w:t>
            </w:r>
            <w:r>
              <w:t xml:space="preserve">“</w:t>
            </w:r>
            <w:r>
              <w:t xml:space="preserve">is what it has</w:t>
            </w:r>
            <w:r>
              <w:t xml:space="preserve">”</w:t>
            </w:r>
            <w:r>
              <w:t xml:space="preserve">; received creaturely wisdom is contrasted with divine wisdom. Related q.46 remains a locus lead.</w:t>
            </w:r>
          </w:p>
        </w:tc>
      </w:tr>
      <w:tr>
        <w:tc>
          <w:tcPr/>
          <w:p>
            <w:pPr>
              <w:pStyle w:val="Compact"/>
              <w:jc w:val="left"/>
            </w:pPr>
            <w:hyperlink r:id="rId50">
              <w:r>
                <w:rPr>
                  <w:rStyle w:val="Hyperlink"/>
                </w:rPr>
                <w:t xml:space="preserve">Anselm, Monologion</w:t>
              </w:r>
            </w:hyperlink>
          </w:p>
        </w:tc>
        <w:tc>
          <w:tcPr/>
          <w:p>
            <w:pPr>
              <w:pStyle w:val="Compact"/>
              <w:jc w:val="left"/>
            </w:pPr>
            <w:r>
              <w:t xml:space="preserve">primary</w:t>
            </w:r>
          </w:p>
        </w:tc>
        <w:tc>
          <w:tcPr/>
          <w:p>
            <w:pPr>
              <w:pStyle w:val="Compact"/>
              <w:jc w:val="left"/>
            </w:pPr>
            <w:r>
              <w:t xml:space="preserve">Latin public-domain scan OCR mirror. Selected chapters consulted; OCR must be checked for quotation. Chapters 17, 31, and 34 anchor composition-dependence and asymmetric exemplar likeness; no unverified quotation is used.</w:t>
            </w:r>
          </w:p>
        </w:tc>
      </w:tr>
      <w:tr>
        <w:tc>
          <w:tcPr/>
          <w:p>
            <w:pPr>
              <w:pStyle w:val="Compact"/>
              <w:jc w:val="left"/>
            </w:pPr>
            <w:hyperlink r:id="rId51">
              <w:r>
                <w:rPr>
                  <w:rStyle w:val="Hyperlink"/>
                </w:rPr>
                <w:t xml:space="preserve">Aquinas, Summa Theologiae, Prima Pars</w:t>
              </w:r>
            </w:hyperlink>
          </w:p>
        </w:tc>
        <w:tc>
          <w:tcPr/>
          <w:p>
            <w:pPr>
              <w:pStyle w:val="Compact"/>
              <w:jc w:val="left"/>
            </w:pPr>
            <w:r>
              <w:t xml:space="preserve">primary</w:t>
            </w:r>
          </w:p>
        </w:tc>
        <w:tc>
          <w:tcPr/>
          <w:p>
            <w:pPr>
              <w:pStyle w:val="Compact"/>
              <w:jc w:val="left"/>
            </w:pPr>
            <w:r>
              <w:t xml:space="preserve">English Dominican Fathers, Complete American Edition; Gutenberg #17611. Selected articles consulted. Causation of necessary beings, primary/secondary causality, divine ideas, analogy, simplicity, and mixed relations verified at article level.</w:t>
            </w:r>
          </w:p>
        </w:tc>
      </w:tr>
      <w:tr>
        <w:tc>
          <w:tcPr/>
          <w:p>
            <w:pPr>
              <w:pStyle w:val="Compact"/>
              <w:jc w:val="left"/>
            </w:pPr>
            <w:hyperlink r:id="rId52">
              <w:r>
                <w:rPr>
                  <w:rStyle w:val="Hyperlink"/>
                </w:rPr>
                <w:t xml:space="preserve">Newman, Essay on the Development of Christian Doctrine</w:t>
              </w:r>
            </w:hyperlink>
          </w:p>
        </w:tc>
        <w:tc>
          <w:tcPr/>
          <w:p>
            <w:pPr>
              <w:pStyle w:val="Compact"/>
              <w:jc w:val="left"/>
            </w:pPr>
            <w:r>
              <w:t xml:space="preserve">primary</w:t>
            </w:r>
          </w:p>
        </w:tc>
        <w:tc>
          <w:tcPr/>
          <w:p>
            <w:pPr>
              <w:pStyle w:val="Compact"/>
              <w:jc w:val="left"/>
            </w:pPr>
            <w:r>
              <w:t xml:space="preserve">Gutenberg #35110 mirror; chapter V consulted. The seven notes and their varying independence/applicability were checked. Newman is used analogically, not to certify a doctrine.</w:t>
            </w:r>
          </w:p>
        </w:tc>
      </w:tr>
      <w:tr>
        <w:tc>
          <w:tcPr/>
          <w:p>
            <w:pPr>
              <w:pStyle w:val="Compact"/>
              <w:jc w:val="left"/>
            </w:pPr>
            <w:hyperlink r:id="rId53">
              <w:r>
                <w:rPr>
                  <w:rStyle w:val="Hyperlink"/>
                </w:rPr>
                <w:t xml:space="preserve">John Damascene, On Holy Images</w:t>
              </w:r>
            </w:hyperlink>
          </w:p>
        </w:tc>
        <w:tc>
          <w:tcPr/>
          <w:p>
            <w:pPr>
              <w:pStyle w:val="Compact"/>
              <w:jc w:val="left"/>
            </w:pPr>
            <w:r>
              <w:t xml:space="preserve">primary</w:t>
            </w:r>
          </w:p>
        </w:tc>
        <w:tc>
          <w:tcPr/>
          <w:p>
            <w:pPr>
              <w:pStyle w:val="Compact"/>
              <w:jc w:val="left"/>
            </w:pPr>
            <w:r>
              <w:t xml:space="preserve">Mary H. Allies, 1898; Gutenberg #49917 mirror. Selected image-type discussion consulted. Translation has an anachronistic identification in one passage; the dossier records it and restricts constructive use.</w:t>
            </w:r>
          </w:p>
        </w:tc>
      </w:tr>
      <w:tr>
        <w:tc>
          <w:tcPr/>
          <w:p>
            <w:pPr>
              <w:pStyle w:val="Compact"/>
              <w:jc w:val="left"/>
            </w:pPr>
            <w:hyperlink r:id="rId54">
              <w:r>
                <w:rPr>
                  <w:rStyle w:val="Hyperlink"/>
                </w:rPr>
                <w:t xml:space="preserve">Stanford Encyclopedia: archived article-body mirror</w:t>
              </w:r>
            </w:hyperlink>
          </w:p>
        </w:tc>
        <w:tc>
          <w:tcPr/>
          <w:p>
            <w:pPr>
              <w:pStyle w:val="Compact"/>
              <w:jc w:val="left"/>
            </w:pPr>
            <w:r>
              <w:t xml:space="preserve">secondary</w:t>
            </w:r>
          </w:p>
        </w:tc>
        <w:tc>
          <w:tcPr/>
          <w:p>
            <w:pPr>
              <w:pStyle w:val="Compact"/>
              <w:jc w:val="left"/>
            </w:pPr>
            <w:r>
              <w:t xml:space="preserve">Readable SEP prose in philo2vec archive committed by August 2016; headers, bibliography, and individual revision dates absent. Selected Bonaventure, Henry, Anselm, Dionysius, Eriugena, Cusa and other entries consulted where recorded. This is archival secondary evidence, not a verified current edition.</w:t>
            </w:r>
          </w:p>
        </w:tc>
      </w:tr>
      <w:tr>
        <w:tc>
          <w:tcPr/>
          <w:p>
            <w:pPr>
              <w:pStyle w:val="Compact"/>
              <w:jc w:val="left"/>
            </w:pPr>
            <w:hyperlink r:id="rId55">
              <w:r>
                <w:rPr>
                  <w:rStyle w:val="Hyperlink"/>
                </w:rPr>
                <w:t xml:space="preserve">Gregory of Nyssa, Life of Moses</w:t>
              </w:r>
            </w:hyperlink>
          </w:p>
        </w:tc>
        <w:tc>
          <w:tcPr/>
          <w:p>
            <w:pPr>
              <w:pStyle w:val="Compact"/>
              <w:jc w:val="left"/>
            </w:pPr>
            <w:r>
              <w:t xml:space="preserve">pending</w:t>
            </w:r>
          </w:p>
        </w:tc>
        <w:tc>
          <w:tcPr/>
          <w:p>
            <w:pPr>
              <w:pStyle w:val="Compact"/>
              <w:jc w:val="left"/>
            </w:pPr>
            <w:r>
              <w:t xml:space="preserve">Abraham J. Malherbe and Everett Ferguson, Paulist Press, 1978; II.230–239. Primary locus and scholarly bibliography supplied in dossier; full reliable translation was not directly consulted in this run.</w:t>
            </w:r>
          </w:p>
        </w:tc>
      </w:tr>
      <w:tr>
        <w:tc>
          <w:tcPr/>
          <w:p>
            <w:pPr>
              <w:pStyle w:val="Compact"/>
              <w:jc w:val="left"/>
            </w:pPr>
            <w:hyperlink r:id="rId56">
              <w:r>
                <w:rPr>
                  <w:rStyle w:val="Hyperlink"/>
                </w:rPr>
                <w:t xml:space="preserve">Dionysius / Maximus: modern critical translations</w:t>
              </w:r>
            </w:hyperlink>
          </w:p>
        </w:tc>
        <w:tc>
          <w:tcPr/>
          <w:p>
            <w:pPr>
              <w:pStyle w:val="Compact"/>
              <w:jc w:val="left"/>
            </w:pPr>
            <w:r>
              <w:t xml:space="preserve">pending</w:t>
            </w:r>
          </w:p>
        </w:tc>
        <w:tc>
          <w:tcPr/>
          <w:p>
            <w:pPr>
              <w:pStyle w:val="Compact"/>
              <w:jc w:val="left"/>
            </w:pPr>
            <w:r>
              <w:t xml:space="preserve">Colm Luibheid / Paul Rorem (1987); Nicholas Constas (2014). Digital primary witnesses and secondary archive prose were read. The reliable modern complete translations remain unconsulted.</w:t>
            </w:r>
          </w:p>
        </w:tc>
      </w:tr>
      <w:tr>
        <w:tc>
          <w:tcPr/>
          <w:p>
            <w:pPr>
              <w:pStyle w:val="Compact"/>
              <w:jc w:val="left"/>
            </w:pPr>
            <w:hyperlink r:id="rId57">
              <w:r>
                <w:rPr>
                  <w:rStyle w:val="Hyperlink"/>
                </w:rPr>
                <w:t xml:space="preserve">Henry of Ghent; Duns Scotus</w:t>
              </w:r>
            </w:hyperlink>
          </w:p>
        </w:tc>
        <w:tc>
          <w:tcPr/>
          <w:p>
            <w:pPr>
              <w:pStyle w:val="Compact"/>
              <w:jc w:val="left"/>
            </w:pPr>
            <w:r>
              <w:t xml:space="preserve">pending</w:t>
            </w:r>
          </w:p>
        </w:tc>
        <w:tc>
          <w:tcPr/>
          <w:p>
            <w:pPr>
              <w:pStyle w:val="Compact"/>
              <w:jc w:val="left"/>
            </w:pPr>
            <w:r>
              <w:t xml:space="preserve">Critical scholastic editions and specialist works listed in the dossiers. Henry archived secondary prose consulted. Primary Henry and Scotus loci are leads, not claims of new primary-text verification.</w:t>
            </w:r>
          </w:p>
        </w:tc>
      </w:tr>
      <w:tr>
        <w:tc>
          <w:tcPr/>
          <w:p>
            <w:pPr>
              <w:pStyle w:val="Compact"/>
              <w:jc w:val="left"/>
            </w:pPr>
            <w:hyperlink r:id="rId58">
              <w:r>
                <w:rPr>
                  <w:rStyle w:val="Hyperlink"/>
                </w:rPr>
                <w:t xml:space="preserve">Przywara, Analogia Entis; Palamas, Triads</w:t>
              </w:r>
            </w:hyperlink>
          </w:p>
        </w:tc>
        <w:tc>
          <w:tcPr/>
          <w:p>
            <w:pPr>
              <w:pStyle w:val="Compact"/>
              <w:jc w:val="left"/>
            </w:pPr>
            <w:r>
              <w:t xml:space="preserve">pending</w:t>
            </w:r>
          </w:p>
        </w:tc>
        <w:tc>
          <w:tcPr/>
          <w:p>
            <w:pPr>
              <w:pStyle w:val="Compact"/>
              <w:jc w:val="left"/>
            </w:pPr>
            <w:r>
              <w:t xml:space="preserve">John R. Betz / David Bentley Hart (2014); Nicholas Gendle (1983). Structural safeguards and bibliography supplied. Full primary works not consulted; no claim that their disputed models are identical.</w:t>
            </w:r>
          </w:p>
        </w:tc>
      </w:tr>
      <w:tr>
        <w:tc>
          <w:tcPr/>
          <w:p>
            <w:pPr>
              <w:pStyle w:val="Compact"/>
              <w:jc w:val="left"/>
            </w:pPr>
            <w:hyperlink r:id="rId59">
              <w:r>
                <w:rPr>
                  <w:rStyle w:val="Hyperlink"/>
                </w:rPr>
                <w:t xml:space="preserve">Specialist scholarship across the field</w:t>
              </w:r>
            </w:hyperlink>
          </w:p>
        </w:tc>
        <w:tc>
          <w:tcPr/>
          <w:p>
            <w:pPr>
              <w:pStyle w:val="Compact"/>
              <w:jc w:val="left"/>
            </w:pPr>
            <w:r>
              <w:t xml:space="preserve">pending</w:t>
            </w:r>
          </w:p>
        </w:tc>
        <w:tc>
          <w:tcPr/>
          <w:p>
            <w:pPr>
              <w:pStyle w:val="Compact"/>
              <w:jc w:val="left"/>
            </w:pPr>
            <w:r>
              <w:t xml:space="preserve">Dossiers distinguish consulted archive prose from bibliographic leads: Balás, Rorem, Perl, Blowers, Moran, McGinn, Noone/Houser, Porro/Pickavé, Wippel, Cross and Betz. A research map rather than a completed critical-edition survey. No bibliography entry is silently treated as a book read.</w:t>
            </w:r>
          </w:p>
        </w:tc>
      </w:tr>
    </w:tbl>
    <w:p>
      <w:pPr>
        <w:pStyle w:val="BodyText"/>
      </w:pPr>
      <w:r>
        <w:t xml:space="preserve">Read the detailed</w:t>
      </w:r>
      <w:r>
        <w:t xml:space="preserve"> </w:t>
      </w:r>
      <w:hyperlink r:id="rId60">
        <w:r>
          <w:rPr>
            <w:rStyle w:val="Hyperlink"/>
          </w:rPr>
          <w:t xml:space="preserve">formal architecture</w:t>
        </w:r>
      </w:hyperlink>
      <w:r>
        <w:t xml:space="preserve">,</w:t>
      </w:r>
      <w:r>
        <w:t xml:space="preserve"> </w:t>
      </w:r>
      <w:hyperlink r:id="rId61">
        <w:r>
          <w:rPr>
            <w:rStyle w:val="Hyperlink"/>
          </w:rPr>
          <w:t xml:space="preserve">ancient/patristic</w:t>
        </w:r>
      </w:hyperlink>
      <w:r>
        <w:t xml:space="preserve">,</w:t>
      </w:r>
      <w:r>
        <w:t xml:space="preserve"> </w:t>
      </w:r>
      <w:hyperlink r:id="rId62">
        <w:r>
          <w:rPr>
            <w:rStyle w:val="Hyperlink"/>
          </w:rPr>
          <w:t xml:space="preserve">Eastern/theophanic</w:t>
        </w:r>
      </w:hyperlink>
      <w:r>
        <w:t xml:space="preserve">,</w:t>
      </w:r>
      <w:r>
        <w:t xml:space="preserve"> </w:t>
      </w:r>
      <w:hyperlink r:id="rId63">
        <w:r>
          <w:rPr>
            <w:rStyle w:val="Hyperlink"/>
          </w:rPr>
          <w:t xml:space="preserve">Latin exemplarism</w:t>
        </w:r>
      </w:hyperlink>
      <w:r>
        <w:t xml:space="preserve">, and</w:t>
      </w:r>
      <w:r>
        <w:t xml:space="preserve"> </w:t>
      </w:r>
      <w:hyperlink r:id="rId64">
        <w:r>
          <w:rPr>
            <w:rStyle w:val="Hyperlink"/>
          </w:rPr>
          <w:t xml:space="preserve">Aquinas/Scotus/Newman</w:t>
        </w:r>
      </w:hyperlink>
      <w:r>
        <w:t xml:space="preserve"> </w:t>
      </w:r>
      <w:r>
        <w:t xml:space="preserve">dossiers for source distinctions and specialist bibliographies. Bibliographic leads are not presented as works newly read. Critical-edition collation, current specialist debate, pure-perfection semantics, inherence, and the modal truthmaker of divine willing remain open work.</w:t>
      </w:r>
    </w:p>
    <w:bookmarkEnd w:id="65"/>
    <w:bookmarkStart w:id="77" w:name="questions-and-answers"/>
    <w:p>
      <w:pPr>
        <w:pStyle w:val="Heading2"/>
      </w:pPr>
      <w:r>
        <w:t xml:space="preserve">Questions and answers</w:t>
      </w:r>
    </w:p>
    <w:p>
      <w:pPr>
        <w:pStyle w:val="FirstParagraph"/>
      </w:pPr>
      <w:r>
        <w:t xml:space="preserve">From God, like God, and genuinely other: direct answers to the participation questions.</w:t>
      </w:r>
    </w:p>
    <w:bookmarkStart w:id="70" w:name="Xb24c90beec6ff5a1d6c742bde6aeb41090f93f4"/>
    <w:p>
      <w:pPr>
        <w:pStyle w:val="Heading3"/>
      </w:pPr>
      <w:r>
        <w:t xml:space="preserve">1. How can a creature be genuinely from God without being a piece of God?</w:t>
      </w:r>
    </w:p>
    <w:p>
      <w:pPr>
        <w:pStyle w:val="FirstParagraph"/>
      </w:pPr>
      <w:r>
        <w:t xml:space="preserve">A creature possesses an actuality that God causes and sustains. That actuality is genuinely the creature’s: the received life is its life, and a received capacity can be its capacity to exercise. Participation names this real, dependent possession. Dependence answers where the actuality comes from; possession answers whose actuality it is. Neither answer cancels the other. A source can therefore sustain another reality without turning it into a portion of its own substance.</w:t>
      </w:r>
    </w:p>
    <w:p>
      <w:pPr>
        <w:pStyle w:val="BodyText"/>
      </w:pPr>
      <w:r>
        <w:t xml:space="preserve">Nonpartition requires an argument in addition to that definition. If proper constituents make their whole depend upon them, absolute underivation excludes creatures as constituents of God. A separate capacity principle excludes unlimited divine actuality as a constituent of a bounded creature. On these premises, sustaining presence means present causality rather than spatial proximity. The creature’s own exercise then requires another bridge: its received power must genuinely contribute to what occurs. Participation supplies the basis for secondary agency; it does not establish agency by naming it.</w:t>
      </w:r>
    </w:p>
    <w:bookmarkStart w:id="69" w:name="X2ca53665a0594db9eb68432fe0cc1b592dad5d1"/>
    <w:p>
      <w:pPr>
        <w:pStyle w:val="Heading4"/>
      </w:pPr>
      <w:r>
        <w:t xml:space="preserve">The premises behind this answer: Causation and constitution</w:t>
      </w:r>
    </w:p>
    <w:p>
      <w:pPr>
        <w:pStyle w:val="FirstParagraph"/>
      </w:pPr>
      <w:r>
        <w:t xml:space="preserve">Uses the source assumptions and constitution bridges already stated in Part I.</w:t>
      </w:r>
    </w:p>
    <w:p>
      <w:pPr>
        <w:pStyle w:val="BodyText"/>
      </w:pPr>
      <w:r>
        <w:t xml:space="preserve">Adopt these premises:</w:t>
      </w:r>
    </w:p>
    <w:p>
      <w:pPr>
        <w:pStyle w:val="Compact"/>
        <w:numPr>
          <w:ilvl w:val="0"/>
          <w:numId w:val="1002"/>
        </w:numPr>
      </w:pPr>
      <w:r>
        <w:t xml:space="preserve">God presently sustains created actuality, depends on nothing for his actuality, and is unlimited in the respect in which creatures are bounded.</w:t>
      </w:r>
    </w:p>
    <w:p>
      <w:pPr>
        <w:pStyle w:val="Compact"/>
        <w:numPr>
          <w:ilvl w:val="0"/>
          <w:numId w:val="1002"/>
        </w:numPr>
      </w:pPr>
      <w:r>
        <w:t xml:space="preserve">Sustaining causation grounds the effect’s actuality in its cause; proper intrinsic constituents ground the actuality of the whole they constitute.</w:t>
      </w:r>
    </w:p>
    <w:p>
      <w:pPr>
        <w:pStyle w:val="Compact"/>
        <w:numPr>
          <w:ilvl w:val="0"/>
          <w:numId w:val="1002"/>
        </w:numPr>
      </w:pPr>
      <w:r>
        <w:t xml:space="preserve">An intrinsic constituent cannot exceed its whole in the relevant capacity for actuality.</w:t>
      </w:r>
    </w:p>
    <w:p>
      <w:pPr>
        <w:pStyle w:val="FirstParagraph"/>
      </w:pPr>
      <w:r>
        <w:t xml:space="preserve">Why adopt them?</w:t>
      </w:r>
    </w:p>
    <w:p>
      <w:pPr>
        <w:pStyle w:val="BodyText"/>
      </w:pPr>
      <w:r>
        <w:t xml:space="preserve">Producing or sustaining something explains its actuality without making the producer its material. Constitution has a different explanatory direction: the whole possesses its actuality through its constituents. Confusing these directions would turn every cause into a component. The third premise adds a substantive constraint on what a bounded whole can intrinsically contain; it is not a consequence of mere part-whole vocabulary.</w:t>
      </w:r>
    </w:p>
    <w:p>
      <w:pPr>
        <w:pStyle w:val="BodyText"/>
      </w:pPr>
      <w:r>
        <w:t xml:space="preserve">What follows if they hold?</w:t>
      </w:r>
    </w:p>
    <w:p>
      <w:pPr>
        <w:pStyle w:val="BodyText"/>
      </w:pPr>
      <w:r>
        <w:t xml:space="preserve">Created actuality can be continuously from God while remaining distinct. Constitutive dependence excludes a creature as a part of the underived God; the capacity constraint excludes unlimited God as a constituent of a bounded creature.</w:t>
      </w:r>
    </w:p>
    <w:p>
      <w:pPr>
        <w:pStyle w:val="BodyText"/>
      </w:pPr>
      <w:r>
        <w:t xml:space="preserve">What remains to defend: These are conditional consequences of the source profile and two constitution principles, not a demonstration that every cause communicates without division.</w:t>
      </w:r>
    </w:p>
    <w:p>
      <w:pPr>
        <w:pStyle w:val="BodyText"/>
      </w:pPr>
      <w:hyperlink r:id="rId66">
        <w:r>
          <w:rPr>
            <w:rStyle w:val="Hyperlink"/>
          </w:rPr>
          <w:t xml:space="preserve">Participation as real possession</w:t>
        </w:r>
      </w:hyperlink>
      <w:r>
        <w:t xml:space="preserve"> </w:t>
      </w:r>
      <w:r>
        <w:t xml:space="preserve">·</w:t>
      </w:r>
      <w:r>
        <w:t xml:space="preserve"> </w:t>
      </w:r>
      <w:hyperlink r:id="rId67">
        <w:r>
          <w:rPr>
            <w:rStyle w:val="Hyperlink"/>
          </w:rPr>
          <w:t xml:space="preserve">The basis and constitution bridges</w:t>
        </w:r>
      </w:hyperlink>
      <w:r>
        <w:t xml:space="preserve"> </w:t>
      </w:r>
      <w:r>
        <w:t xml:space="preserve">·</w:t>
      </w:r>
      <w:r>
        <w:t xml:space="preserve"> </w:t>
      </w:r>
      <w:hyperlink r:id="rId68">
        <w:r>
          <w:rPr>
            <w:rStyle w:val="Hyperlink"/>
          </w:rPr>
          <w:t xml:space="preserve">Participation without partition</w:t>
        </w:r>
      </w:hyperlink>
    </w:p>
    <w:bookmarkEnd w:id="69"/>
    <w:bookmarkEnd w:id="70"/>
    <w:bookmarkStart w:id="73" w:name="Xcac339b6af8fb0bb0bf0596155e07b3f03cfecf"/>
    <w:p>
      <w:pPr>
        <w:pStyle w:val="Heading3"/>
      </w:pPr>
      <w:r>
        <w:t xml:space="preserve">2. If creatures are from God, in what sense can they genuinely be like God?</w:t>
      </w:r>
    </w:p>
    <w:p>
      <w:pPr>
        <w:pStyle w:val="FirstParagraph"/>
      </w:pPr>
      <w:r>
        <w:t xml:space="preserve">They can possess a real perfection whose positive content corresponds to perfection in their source, although its mode of possession differs. But being caused does not, by itself, establish that correspondence. Causation explains where a perfection comes from; likeness requires an additional principle of causal adequacy. The proposal applies that principle to the ultimate source, rather than requiring every instrument to possess the qualities of its effects.</w:t>
      </w:r>
    </w:p>
    <w:p>
      <w:pPr>
        <w:pStyle w:val="BodyText"/>
      </w:pPr>
      <w:r>
        <w:t xml:space="preserve">The positive content must be identified independently of effecthood. Exemplarism supplies one account of the bridge: an effect’s intelligible formation corresponds to the source’s understanding, so the likeness is grounded in what the effect is. The complete finite form need not be copied into God. A melody requires succession; its divine ground need not be a succession of divine notes. This reconstruction makes detached Forms unnecessary to the explanation without proving every alternative ontology false. Objective expression can obtain before an observer recognizes it; recognition and warranted knowledge remain further achievements.</w:t>
      </w:r>
    </w:p>
    <w:bookmarkStart w:id="72" w:name="Xc2c3f14e4f9c391e51a6d2991af581cdadb0919"/>
    <w:p>
      <w:pPr>
        <w:pStyle w:val="Heading4"/>
      </w:pPr>
      <w:r>
        <w:t xml:space="preserve">The premises behind this answer: Corresponding perfection in an ultimate cause</w:t>
      </w:r>
    </w:p>
    <w:p>
      <w:pPr>
        <w:pStyle w:val="FirstParagraph"/>
      </w:pPr>
      <w:r>
        <w:t xml:space="preserve">Adds causal adequacy to causation and dependence; the source interpretation of each positive perfection must also be defended.</w:t>
      </w:r>
    </w:p>
    <w:p>
      <w:pPr>
        <w:pStyle w:val="BodyText"/>
      </w:pPr>
      <w:r>
        <w:t xml:space="preserve">Adopt these premises:</w:t>
      </w:r>
    </w:p>
    <w:p>
      <w:pPr>
        <w:pStyle w:val="Compact"/>
        <w:numPr>
          <w:ilvl w:val="0"/>
          <w:numId w:val="1003"/>
        </w:numPr>
      </w:pPr>
      <w:r>
        <w:t xml:space="preserve">Identify the positive content independently of its being caused, and distinguish it from a complete finite-kind description: achieved understanding, for example, differs from the receptive history of learning.</w:t>
      </w:r>
    </w:p>
    <w:p>
      <w:pPr>
        <w:pStyle w:val="Compact"/>
        <w:numPr>
          <w:ilvl w:val="0"/>
          <w:numId w:val="1003"/>
        </w:numPr>
      </w:pPr>
      <w:r>
        <w:t xml:space="preserve">Where the ultimate source fully grounds that positive actuality, the source possesses corresponding perfection actually, under a source-appropriate mode, rather than merely having the ability to produce it.</w:t>
      </w:r>
    </w:p>
    <w:p>
      <w:pPr>
        <w:pStyle w:val="FirstParagraph"/>
      </w:pPr>
      <w:r>
        <w:t xml:space="preserve">Why adopt them?</w:t>
      </w:r>
    </w:p>
    <w:p>
      <w:pPr>
        <w:pStyle w:val="BodyText"/>
      </w:pPr>
      <w:r>
        <w:t xml:space="preserve">The proposal asks the ultimate explanation to account for what is positively realized, not only the fact that an event occurs. An instrument can transmit a perfection it does not possess in the relevant mode because other actualities explain its operation. An ultimate source cannot defer the whole explanatory burden indefinitely to such instruments. Correspondence permits difference of mode: causing understanding does not require a biological brain or discursive learning in God.</w:t>
      </w:r>
    </w:p>
    <w:p>
      <w:pPr>
        <w:pStyle w:val="BodyText"/>
      </w:pPr>
      <w:r>
        <w:t xml:space="preserve">Source-related intelligible formation provides a positive account of the correspondence. On an exemplar account, the source understands the form it gives actuality to; the creature realizes that intelligible form under its own conditions. A causal relation alone does not supply this additional explanatory relation.</w:t>
      </w:r>
    </w:p>
    <w:p>
      <w:pPr>
        <w:pStyle w:val="BodyText"/>
      </w:pPr>
      <w:r>
        <w:t xml:space="preserve">What follows if they hold?</w:t>
      </w:r>
    </w:p>
    <w:p>
      <w:pPr>
        <w:pStyle w:val="BodyText"/>
      </w:pPr>
      <w:r>
        <w:t xml:space="preserve">A creature can bear an actual, received likeness. Its perfection has an intelligible source without requiring a detached Form between source and creature.</w:t>
      </w:r>
    </w:p>
    <w:p>
      <w:pPr>
        <w:pStyle w:val="BodyText"/>
      </w:pPr>
      <w:r>
        <w:t xml:space="preserve">What remains to defend: This is a substantive causal-adequacy commitment, not a theorem of causation alone. Each positive content and its source interpretation still needs defense.</w:t>
      </w:r>
    </w:p>
    <w:p>
      <w:pPr>
        <w:pStyle w:val="BodyText"/>
      </w:pPr>
      <w:hyperlink r:id="rId67">
        <w:r>
          <w:rPr>
            <w:rStyle w:val="Hyperlink"/>
          </w:rPr>
          <w:t xml:space="preserve">Causal adequacy and realized perfection</w:t>
        </w:r>
      </w:hyperlink>
      <w:r>
        <w:t xml:space="preserve"> </w:t>
      </w:r>
      <w:r>
        <w:t xml:space="preserve">·</w:t>
      </w:r>
      <w:r>
        <w:t xml:space="preserve"> </w:t>
      </w:r>
      <w:hyperlink r:id="rId71">
        <w:r>
          <w:rPr>
            <w:rStyle w:val="Hyperlink"/>
          </w:rPr>
          <w:t xml:space="preserve">Historical resources for likeness</w:t>
        </w:r>
      </w:hyperlink>
    </w:p>
    <w:bookmarkEnd w:id="72"/>
    <w:bookmarkEnd w:id="73"/>
    <w:bookmarkStart w:id="76" w:name="Xffcc54e0be6999e4f1e0c8f04b4fcf389d826b8"/>
    <w:p>
      <w:pPr>
        <w:pStyle w:val="Heading3"/>
      </w:pPr>
      <w:r>
        <w:t xml:space="preserve">3. How can a creature genuinely resemble God without sharing God’s mode of being or a common genus?</w:t>
      </w:r>
    </w:p>
    <w:p>
      <w:pPr>
        <w:pStyle w:val="FirstParagraph"/>
      </w:pPr>
      <w:r>
        <w:t xml:space="preserve">A perfection can correspond without being possessed in the same way. A creature receives actuality according to its capacity; the adopted divine source receives none of the actuality by which it exists. The finite measure characterizes reception, rather than becoming a limit on the source. Likewise, a finite judgment can be completely true in its stated respect without comprehending God: knowing that God exists does not mean possessing everything God is. Non-exhaustion is compatible with truthful access.</w:t>
      </w:r>
    </w:p>
    <w:p>
      <w:pPr>
        <w:pStyle w:val="BodyText"/>
      </w:pPr>
      <w:r>
        <w:t xml:space="preserve">Still, different modes alone do not prove that no common genus exists. The stricter conclusion needs a further account: membership in a natural genus would introduce distinct intrinsic constituting principles, and an absolutely underived source cannot depend on such principles. That account of genus requires independent defense. It concerns natural classification, rather than every shared predicate or intelligible concept. Scotus’s univocal concept of being cannot simply be dismissed as a common natural genus.</w:t>
      </w:r>
    </w:p>
    <w:bookmarkStart w:id="75" w:name="X2a7738daaaeb86a4b0d6ffd6ed1e8227fc5326c"/>
    <w:p>
      <w:pPr>
        <w:pStyle w:val="Heading4"/>
      </w:pPr>
      <w:r>
        <w:t xml:space="preserve">The premises behind this answer: Natural genus and intrinsic constitution</w:t>
      </w:r>
    </w:p>
    <w:p>
      <w:pPr>
        <w:pStyle w:val="FirstParagraph"/>
      </w:pPr>
      <w:r>
        <w:t xml:space="preserve">Adds the natural-genus principle N to the inherited underivation and constitution arguments.</w:t>
      </w:r>
    </w:p>
    <w:p>
      <w:pPr>
        <w:pStyle w:val="BodyText"/>
      </w:pPr>
      <w:r>
        <w:t xml:space="preserve">Adopt these premises:</w:t>
      </w:r>
    </w:p>
    <w:p>
      <w:pPr>
        <w:pStyle w:val="Compact"/>
        <w:numPr>
          <w:ilvl w:val="0"/>
          <w:numId w:val="1004"/>
        </w:numPr>
      </w:pPr>
      <w:r>
        <w:t xml:space="preserve">Corresponding perfection can be received and bounded in the creature while unreceived and unlimited in God.</w:t>
      </w:r>
    </w:p>
    <w:p>
      <w:pPr>
        <w:pStyle w:val="Compact"/>
        <w:numPr>
          <w:ilvl w:val="0"/>
          <w:numId w:val="1004"/>
        </w:numPr>
      </w:pPr>
      <w:r>
        <w:t xml:space="preserve">If natural genus-membership consists in an intrinsic common kind completed by a distinct intrinsic specific principle, both principles contribute to the member’s constitution.</w:t>
      </w:r>
    </w:p>
    <w:p>
      <w:pPr>
        <w:pStyle w:val="Compact"/>
        <w:numPr>
          <w:ilvl w:val="0"/>
          <w:numId w:val="1004"/>
        </w:numPr>
      </w:pPr>
      <w:r>
        <w:t xml:space="preserve">Proper intrinsic constituting principles ground a whole’s actuality; God is absolutely underived.</w:t>
      </w:r>
    </w:p>
    <w:p>
      <w:pPr>
        <w:pStyle w:val="FirstParagraph"/>
      </w:pPr>
      <w:r>
        <w:t xml:space="preserve">Why adopt them?</w:t>
      </w:r>
    </w:p>
    <w:p>
      <w:pPr>
        <w:pStyle w:val="BodyText"/>
      </w:pPr>
      <w:r>
        <w:t xml:space="preserve">A natural genus, on this account, identifies what a thing intrinsically is; its specific determination explains why it is this kind of member. Those contributions are stronger than two descriptions or a shared logical predicate. Treating them as real constituting principles therefore subjects them to the dependence argument. Mere likeness instead compares positive content without supplying a constituent through which God becomes actual.</w:t>
      </w:r>
    </w:p>
    <w:p>
      <w:pPr>
        <w:pStyle w:val="BodyText"/>
      </w:pPr>
      <w:r>
        <w:t xml:space="preserve">What follows if they hold?</w:t>
      </w:r>
    </w:p>
    <w:p>
      <w:pPr>
        <w:pStyle w:val="BodyText"/>
      </w:pPr>
      <w:r>
        <w:t xml:space="preserve">Likeness remains possible, while God cannot belong to a natural genus constituted in this way. The creature’s finite reception measures its own mode rather than setting God’s measure.</w:t>
      </w:r>
    </w:p>
    <w:p>
      <w:pPr>
        <w:pStyle w:val="BodyText"/>
      </w:pPr>
      <w:r>
        <w:t xml:space="preserve">What remains to defend: The genus analysis is an additional Aristotelian-style commitment. It neither excludes every shared concept nor refutes Scotus’s univocal concept of being.</w:t>
      </w:r>
    </w:p>
    <w:p>
      <w:pPr>
        <w:pStyle w:val="BodyText"/>
      </w:pPr>
      <w:hyperlink r:id="rId68">
        <w:r>
          <w:rPr>
            <w:rStyle w:val="Hyperlink"/>
          </w:rPr>
          <w:t xml:space="preserve">The additional genus principle</w:t>
        </w:r>
      </w:hyperlink>
      <w:r>
        <w:t xml:space="preserve"> </w:t>
      </w:r>
      <w:r>
        <w:t xml:space="preserve">·</w:t>
      </w:r>
      <w:r>
        <w:t xml:space="preserve"> </w:t>
      </w:r>
      <w:hyperlink r:id="rId74">
        <w:r>
          <w:rPr>
            <w:rStyle w:val="Hyperlink"/>
          </w:rPr>
          <w:t xml:space="preserve">Test the premises</w:t>
        </w:r>
      </w:hyperlink>
    </w:p>
    <w:p>
      <w:r>
        <w:pict>
          <v:rect style="width:0;height:1.5pt" o:hralign="center" o:hrstd="t" o:hr="t"/>
        </w:pict>
      </w:r>
    </w:p>
    <w:bookmarkEnd w:id="75"/>
    <w:bookmarkEnd w:id="76"/>
    <w:bookmarkEnd w:id="77"/>
    <w:bookmarkEnd w:id="78"/>
    <w:bookmarkStart w:id="116" w:name="Xe03c05280ee618058fb3d120ec70b7c92343db0"/>
    <w:p>
      <w:pPr>
        <w:pStyle w:val="Heading1"/>
      </w:pPr>
      <w:r>
        <w:t xml:space="preserve">Beyond Participation: Divine Simplicity and Freedom</w:t>
      </w:r>
    </w:p>
    <w:p>
      <w:pPr>
        <w:pStyle w:val="FirstParagraph"/>
      </w:pPr>
      <w:r>
        <w:t xml:space="preserve">A constructive, conditional research synthesis with independently identified questions about action and knowledge. The starting claims about the source are assumed; they are not a proof of its existence.</w:t>
      </w:r>
    </w:p>
    <w:p>
      <w:pPr>
        <w:pStyle w:val="BlockText"/>
      </w:pPr>
      <w:r>
        <w:t xml:space="preserve">What would establish that an underived source is simple without being empty, and freely knows and causes this creation without receiving perfection from it? Which further principle would explain different complete creative actions if the source’s intrinsic actuality remains the same?</w:t>
      </w:r>
    </w:p>
    <w:bookmarkStart w:id="79" w:name="a-second-inquiry.-a-different-burden."/>
    <w:p>
      <w:pPr>
        <w:pStyle w:val="Heading2"/>
      </w:pPr>
      <w:r>
        <w:t xml:space="preserve">00 / A second inquiry. A different burden.</w:t>
      </w:r>
    </w:p>
    <w:p>
      <w:pPr>
        <w:pStyle w:val="FirstParagraph"/>
      </w:pPr>
      <w:r>
        <w:rPr>
          <w:b/>
          <w:bCs/>
        </w:rPr>
        <w:t xml:space="preserve">Status:</w:t>
      </w:r>
      <w:r>
        <w:t xml:space="preserve"> </w:t>
      </w:r>
      <w:r>
        <w:t xml:space="preserve">Conditional starting point.</w:t>
      </w:r>
    </w:p>
    <w:p>
      <w:pPr>
        <w:pStyle w:val="BodyText"/>
      </w:pPr>
      <w:r>
        <w:t xml:space="preserve">Participation concerns real received possession. This inquiry asks what further arguments would establish a simple, intelligent source whose creative action is genuinely free.</w:t>
      </w:r>
    </w:p>
    <w:p>
      <w:pPr>
        <w:pStyle w:val="BodyText"/>
      </w:pPr>
      <w:r>
        <w:t xml:space="preserve">A creature can possess received actuality without being a piece of its source. The first investigation explained this through explicit causal, qualitative, and constitutive premises. It adopted an underived, unlimited source; it did not prove the whole doctrine of God from participation. Its relevant subtheorem is exact: if proper intrinsic constituents ground a whole’s actuality, an absolutely underived source has no such constituents.</w:t>
      </w:r>
    </w:p>
    <w:p>
      <w:pPr>
        <w:pStyle w:val="BodyText"/>
      </w:pPr>
      <w:r>
        <w:t xml:space="preserve">The broader simplicity inquiry asks what could still make that source actual, one, existent, determinate, or perfect. Its six classical accomplishments examine different kinds of proposed conditioning. They form a cumulative case with substantive metaphysical premises. They do not identify every distinction with a part, or every source-relative fact with an acquired divine perfection.</w:t>
      </w:r>
    </w:p>
    <w:p>
      <w:pPr>
        <w:pStyle w:val="BodyText"/>
      </w:pPr>
      <w:r>
        <w:t xml:space="preserve">The positive aim matters just as much. Being determinate is different from being made determinate by something more basic. If wisdom belongs to the source, simplicity asks how it belongs without an added actualizer. Wisdom and power can differ in meaning while having one concrete divine realization. That possibility preserves meaningful predication; the actual possession of each perfection still needs its own argument.</w:t>
      </w:r>
    </w:p>
    <w:p>
      <w:pPr>
        <w:pStyle w:val="BodyText"/>
      </w:pPr>
      <w:r>
        <w:t xml:space="preserve">Freedom raises another question. A source could remain undivided and inexhaustible while necessarily producing one finite cosmos. A philosophy of creative agency must distinguish possible alternatives, reasons for giving, the agent’s actual choice, and its successful execution. An intention’s infallible execution does not make the intention itself necessary.</w:t>
      </w:r>
    </w:p>
    <w:p>
      <w:pPr>
        <w:pStyle w:val="BodyText"/>
      </w:pPr>
      <w:r>
        <w:t xml:space="preserve">The constructive proposal treats a complete creative action as intentionally directed toward its effect. The source originates that direction; the finished world does not retrospectively supply it. The difficult claim is that different complete actions can differ relationally without requiring different intrinsic divine actualities. Noncomposition alone does not establish this stronger account.</w:t>
      </w:r>
    </w:p>
    <w:p>
      <w:pPr>
        <w:pStyle w:val="BodyText"/>
      </w:pPr>
      <w:r>
        <w:t xml:space="preserve">Knowledge adds a further requirement: an intelligent source must know its actual action and what that action accomplishes, not merely every possible plan. Productive knowledge explains a created effect through the agent’s warranted awareness of its efficacious intention. Its scope extends only as far as that awareness adequately discloses the effect.</w:t>
      </w:r>
    </w:p>
    <w:p>
      <w:pPr>
        <w:pStyle w:val="BodyText"/>
      </w:pPr>
      <w:r>
        <w:t xml:space="preserve">The historical resources are exemplary at different joints. Aquinas and Anselm sharpen constitution and rational action; Scotus sharpens live contingency; Augustine and Maximus connect exemplar intelligence with determinate possibilities; Dionysius, Bonaventure, Nyssa, Eriugena, and Przywara preserve communication without exhaustion. Newman supplies an analogical test of continuity. The final synthesis is ours: its value depends on what its bridges explain and which rivals they actually exclude.</w:t>
      </w:r>
    </w:p>
    <w:bookmarkEnd w:id="79"/>
    <w:bookmarkStart w:id="80" w:name="what-part-i-actually-gives-us."/>
    <w:p>
      <w:pPr>
        <w:pStyle w:val="Heading2"/>
      </w:pPr>
      <w:r>
        <w:t xml:space="preserve">01 / What Part I actually gives us.</w:t>
      </w:r>
    </w:p>
    <w:p>
      <w:pPr>
        <w:pStyle w:val="FirstParagraph"/>
      </w:pPr>
      <w:r>
        <w:rPr>
          <w:b/>
          <w:bCs/>
        </w:rPr>
        <w:t xml:space="preserve">Status:</w:t>
      </w:r>
      <w:r>
        <w:t xml:space="preserve"> </w:t>
      </w:r>
      <w:r>
        <w:t xml:space="preserve">Inherited premises.</w:t>
      </w:r>
    </w:p>
    <w:p>
      <w:pPr>
        <w:pStyle w:val="BodyText"/>
      </w:pPr>
      <w:r>
        <w:t xml:space="preserve">Inherited results retain their premises. The source’s existence, universality, and positive perfections require arguments beyond the participation model.</w:t>
      </w:r>
    </w:p>
    <w:p>
      <w:pPr>
        <w:pStyle w:val="BodyText"/>
      </w:pPr>
      <w:r>
        <w:t xml:space="preserve">G and CP yield present created dependence; Q supplies the qualitative bridge required for causal likeness; U excludes constitutive grounding of the source. KD + U yield noncomposition. KH + FS + FC exclude the unlimited source as a constituent of bounded created actuality. Each conclusion answers a particular question. Dependence does not supply likeness, and likeness does not establish identity.</w:t>
      </w:r>
    </w:p>
    <w:p>
      <w:pPr>
        <w:pStyle w:val="BodyText"/>
      </w:pPr>
      <w:r>
        <w:t xml:space="preserve">A local underived ground would not yet establish one universal source. That ascent needs explanatory completion, an argument about the scope of existential dependence, and a separate uniqueness argument. This page inherits the universal source profile to investigate its implications. It neither proves that ascent nor treats</w:t>
      </w:r>
      <w:r>
        <w:t xml:space="preserve"> </w:t>
      </w:r>
      <w:r>
        <w:t xml:space="preserve">“</w:t>
      </w:r>
      <w:r>
        <w:t xml:space="preserve">source</w:t>
      </w:r>
      <w:r>
        <w:t xml:space="preserve">”</w:t>
      </w:r>
      <w:r>
        <w:t xml:space="preserve"> </w:t>
      </w:r>
      <w:r>
        <w:t xml:space="preserve">as a definition containing its conclusion.</w:t>
      </w:r>
    </w:p>
    <w:p>
      <w:pPr>
        <w:pStyle w:val="BodyText"/>
      </w:pPr>
      <w:r>
        <w:t xml:space="preserve">X is stronger than noncomposition: the source’s intrinsic actuality remains the same across the possible created outcomes being considered. An intrinsic property could vary between possible worlds without being a part or being acquired in time. X excludes that variation, but supplies neither possible alternatives nor the actual direction of the source’s intention.</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Premises</w:t>
            </w:r>
          </w:p>
        </w:tc>
        <w:tc>
          <w:tcPr/>
          <w:p>
            <w:pPr>
              <w:pStyle w:val="Compact"/>
              <w:jc w:val="left"/>
            </w:pPr>
            <w:r>
              <w:t xml:space="preserve">Claim</w:t>
            </w:r>
          </w:p>
        </w:tc>
        <w:tc>
          <w:tcPr/>
          <w:p>
            <w:pPr>
              <w:pStyle w:val="Compact"/>
              <w:jc w:val="left"/>
            </w:pPr>
            <w:r>
              <w:t xml:space="preserve">Status</w:t>
            </w:r>
          </w:p>
        </w:tc>
        <w:tc>
          <w:tcPr/>
          <w:p>
            <w:pPr>
              <w:pStyle w:val="Compact"/>
              <w:jc w:val="left"/>
            </w:pPr>
            <w:r>
              <w:t xml:space="preserve">Boundary</w:t>
            </w:r>
          </w:p>
        </w:tc>
      </w:tr>
      <w:tr>
        <w:tc>
          <w:tcPr/>
          <w:p>
            <w:pPr>
              <w:pStyle w:val="Compact"/>
              <w:jc w:val="left"/>
            </w:pPr>
            <w:r>
              <w:t xml:space="preserve">G + CP</w:t>
            </w:r>
          </w:p>
        </w:tc>
        <w:tc>
          <w:tcPr/>
          <w:p>
            <w:pPr>
              <w:pStyle w:val="Compact"/>
              <w:jc w:val="left"/>
            </w:pPr>
            <w:r>
              <w:t xml:space="preserve">Present source dependence</w:t>
            </w:r>
          </w:p>
        </w:tc>
        <w:tc>
          <w:tcPr/>
          <w:p>
            <w:pPr>
              <w:pStyle w:val="Compact"/>
              <w:jc w:val="left"/>
            </w:pPr>
            <w:r>
              <w:t xml:space="preserve">Inherited premises</w:t>
            </w:r>
          </w:p>
        </w:tc>
        <w:tc>
          <w:tcPr/>
          <w:p>
            <w:pPr>
              <w:pStyle w:val="Compact"/>
              <w:jc w:val="left"/>
            </w:pPr>
            <w:r>
              <w:t xml:space="preserve">Universal sourcing and causal dependence are adopted, not proved by</w:t>
            </w:r>
            <w:r>
              <w:t xml:space="preserve"> </w:t>
            </w:r>
            <w:r>
              <w:t xml:space="preserve">“</w:t>
            </w:r>
            <w:r>
              <w:t xml:space="preserve">participation.</w:t>
            </w:r>
            <w:r>
              <w:t xml:space="preserve">”</w:t>
            </w:r>
          </w:p>
        </w:tc>
      </w:tr>
      <w:tr>
        <w:tc>
          <w:tcPr/>
          <w:p>
            <w:pPr>
              <w:pStyle w:val="Compact"/>
              <w:jc w:val="left"/>
            </w:pPr>
            <w:r>
              <w:t xml:space="preserve">Q</w:t>
            </w:r>
          </w:p>
        </w:tc>
        <w:tc>
          <w:tcPr/>
          <w:p>
            <w:pPr>
              <w:pStyle w:val="Compact"/>
              <w:jc w:val="left"/>
            </w:pPr>
            <w:r>
              <w:t xml:space="preserve">Positive causal likeness</w:t>
            </w:r>
          </w:p>
        </w:tc>
        <w:tc>
          <w:tcPr/>
          <w:p>
            <w:pPr>
              <w:pStyle w:val="Compact"/>
              <w:jc w:val="left"/>
            </w:pPr>
            <w:r>
              <w:t xml:space="preserve">Inherited bridge</w:t>
            </w:r>
          </w:p>
        </w:tc>
        <w:tc>
          <w:tcPr/>
          <w:p>
            <w:pPr>
              <w:pStyle w:val="Compact"/>
              <w:jc w:val="left"/>
            </w:pPr>
            <w:r>
              <w:t xml:space="preserve">Does not turn efficient causation alone into resemblance.</w:t>
            </w:r>
          </w:p>
        </w:tc>
      </w:tr>
      <w:tr>
        <w:tc>
          <w:tcPr/>
          <w:p>
            <w:pPr>
              <w:pStyle w:val="Compact"/>
              <w:jc w:val="left"/>
            </w:pPr>
            <w:r>
              <w:t xml:space="preserve">U + KD</w:t>
            </w:r>
          </w:p>
        </w:tc>
        <w:tc>
          <w:tcPr/>
          <w:p>
            <w:pPr>
              <w:pStyle w:val="Compact"/>
              <w:jc w:val="left"/>
            </w:pPr>
            <w:r>
              <w:t xml:space="preserve">No proper intrinsic source constituents</w:t>
            </w:r>
          </w:p>
        </w:tc>
        <w:tc>
          <w:tcPr/>
          <w:p>
            <w:pPr>
              <w:pStyle w:val="Compact"/>
              <w:jc w:val="left"/>
            </w:pPr>
            <w:r>
              <w:t xml:space="preserve">Conditional result</w:t>
            </w:r>
          </w:p>
        </w:tc>
        <w:tc>
          <w:tcPr/>
          <w:p>
            <w:pPr>
              <w:pStyle w:val="Compact"/>
              <w:jc w:val="left"/>
            </w:pPr>
            <w:r>
              <w:t xml:space="preserve">KD’s constitution–dependence principle remains a philosophical burden.</w:t>
            </w:r>
          </w:p>
        </w:tc>
      </w:tr>
      <w:tr>
        <w:tc>
          <w:tcPr/>
          <w:p>
            <w:pPr>
              <w:pStyle w:val="Compact"/>
              <w:jc w:val="left"/>
            </w:pPr>
            <w:r>
              <w:t xml:space="preserve">KH + FS + FC</w:t>
            </w:r>
          </w:p>
        </w:tc>
        <w:tc>
          <w:tcPr/>
          <w:p>
            <w:pPr>
              <w:pStyle w:val="Compact"/>
              <w:jc w:val="left"/>
            </w:pPr>
            <w:r>
              <w:t xml:space="preserve">Source is no finite creature’s constituent</w:t>
            </w:r>
          </w:p>
        </w:tc>
        <w:tc>
          <w:tcPr/>
          <w:p>
            <w:pPr>
              <w:pStyle w:val="Compact"/>
              <w:jc w:val="left"/>
            </w:pPr>
            <w:r>
              <w:t xml:space="preserve">Conditional result</w:t>
            </w:r>
          </w:p>
        </w:tc>
        <w:tc>
          <w:tcPr/>
          <w:p>
            <w:pPr>
              <w:pStyle w:val="Compact"/>
              <w:jc w:val="left"/>
            </w:pPr>
            <w:r>
              <w:t xml:space="preserve">Different from merely saying that God has no parts.</w:t>
            </w:r>
          </w:p>
        </w:tc>
      </w:tr>
      <w:tr>
        <w:tc>
          <w:tcPr/>
          <w:p>
            <w:pPr>
              <w:pStyle w:val="Compact"/>
              <w:jc w:val="left"/>
            </w:pPr>
            <w:r>
              <w:t xml:space="preserve">FS / FC</w:t>
            </w:r>
          </w:p>
        </w:tc>
        <w:tc>
          <w:tcPr/>
          <w:p>
            <w:pPr>
              <w:pStyle w:val="Compact"/>
              <w:jc w:val="left"/>
            </w:pPr>
            <w:r>
              <w:t xml:space="preserve">Unbounded source / bounded created actuality</w:t>
            </w:r>
          </w:p>
        </w:tc>
        <w:tc>
          <w:tcPr/>
          <w:p>
            <w:pPr>
              <w:pStyle w:val="Compact"/>
              <w:jc w:val="left"/>
            </w:pPr>
            <w:r>
              <w:t xml:space="preserve">Inherited profile</w:t>
            </w:r>
          </w:p>
        </w:tc>
        <w:tc>
          <w:tcPr/>
          <w:p>
            <w:pPr>
              <w:pStyle w:val="Compact"/>
              <w:jc w:val="left"/>
            </w:pPr>
            <w:r>
              <w:t xml:space="preserve">Respect e; unlimited intellect requires another argument.</w:t>
            </w:r>
          </w:p>
        </w:tc>
      </w:tr>
      <w:tr>
        <w:tc>
          <w:tcPr/>
          <w:p>
            <w:pPr>
              <w:pStyle w:val="Compact"/>
              <w:jc w:val="left"/>
            </w:pPr>
            <w:r>
              <w:t xml:space="preserve">X</w:t>
            </w:r>
          </w:p>
        </w:tc>
        <w:tc>
          <w:tcPr/>
          <w:p>
            <w:pPr>
              <w:pStyle w:val="Compact"/>
              <w:jc w:val="left"/>
            </w:pPr>
            <w:r>
              <w:t xml:space="preserve">Same intrinsic actuality across possible outcomes</w:t>
            </w:r>
          </w:p>
        </w:tc>
        <w:tc>
          <w:tcPr/>
          <w:p>
            <w:pPr>
              <w:pStyle w:val="Compact"/>
              <w:jc w:val="left"/>
            </w:pPr>
            <w:r>
              <w:t xml:space="preserve">Inherited extension</w:t>
            </w:r>
          </w:p>
        </w:tc>
        <w:tc>
          <w:tcPr/>
          <w:p>
            <w:pPr>
              <w:pStyle w:val="Compact"/>
              <w:jc w:val="left"/>
            </w:pPr>
            <w:r>
              <w:t xml:space="preserve">Does not establish those alternatives or explain a particular intention.</w:t>
            </w:r>
          </w:p>
        </w:tc>
      </w:tr>
      <w:tr>
        <w:tc>
          <w:tcPr/>
          <w:p>
            <w:pPr>
              <w:pStyle w:val="Compact"/>
              <w:jc w:val="left"/>
            </w:pPr>
            <w:r>
              <w:t xml:space="preserve">V / W</w:t>
            </w:r>
          </w:p>
        </w:tc>
        <w:tc>
          <w:tcPr/>
          <w:p>
            <w:pPr>
              <w:pStyle w:val="Compact"/>
              <w:jc w:val="left"/>
            </w:pPr>
            <w:r>
              <w:t xml:space="preserve">No-creation alternatives / intelligent selection</w:t>
            </w:r>
          </w:p>
        </w:tc>
        <w:tc>
          <w:tcPr/>
          <w:p>
            <w:pPr>
              <w:pStyle w:val="Compact"/>
              <w:jc w:val="left"/>
            </w:pPr>
            <w:r>
              <w:t xml:space="preserve">Earlier optional extensions</w:t>
            </w:r>
          </w:p>
        </w:tc>
        <w:tc>
          <w:tcPr/>
          <w:p>
            <w:pPr>
              <w:pStyle w:val="Compact"/>
              <w:jc w:val="left"/>
            </w:pPr>
            <w:r>
              <w:t xml:space="preserve">They remain added commitments to be analyzed here.</w:t>
            </w:r>
          </w:p>
        </w:tc>
      </w:tr>
    </w:tbl>
    <w:bookmarkEnd w:id="80"/>
    <w:bookmarkStart w:id="81" w:name="X2e2625d6932b7f6700577eddfcdfd4192b7e536"/>
    <w:p>
      <w:pPr>
        <w:pStyle w:val="Heading2"/>
      </w:pPr>
      <w:r>
        <w:t xml:space="preserve">02 / Simplicity excludes conditioning. It preserves fullness.</w:t>
      </w:r>
    </w:p>
    <w:p>
      <w:pPr>
        <w:pStyle w:val="FirstParagraph"/>
      </w:pPr>
      <w:r>
        <w:rPr>
          <w:b/>
          <w:bCs/>
        </w:rPr>
        <w:t xml:space="preserve">Status:</w:t>
      </w:r>
      <w:r>
        <w:t xml:space="preserve"> </w:t>
      </w:r>
      <w:r>
        <w:t xml:space="preserve">Conditional theorem.</w:t>
      </w:r>
    </w:p>
    <w:p>
      <w:pPr>
        <w:pStyle w:val="BodyText"/>
      </w:pPr>
      <w:r>
        <w:t xml:space="preserve">The six accomplishments ask how the source could still receive what makes it actual, one, existent, determinate, or perfect. Their arguments must identify the dependence rather than assume it.</w:t>
      </w:r>
    </w:p>
    <w:p>
      <w:pPr>
        <w:pStyle w:val="BodyText"/>
      </w:pPr>
      <w:r>
        <w:t xml:space="preserve">Begin with the strongest simple objection: an efficiently uncaused reality might still be a brute composite. KD answers by claiming that proper intrinsic constituents ground the whole’s actuality. To defend it, identify what each proposed constituent contributes to what the whole actually is. A structure that makes no such contribution may be an analysis or a dependent feature of the whole, rather than a prior constituent. A whole-priority theorist can dispute the direction of grounding; that is the substantive disagreement.</w:t>
      </w:r>
    </w:p>
    <w:p>
      <w:pPr>
        <w:pStyle w:val="BodyText"/>
      </w:pPr>
      <w:r>
        <w:t xml:space="preserve">The six accomplishments extend this audit. Pure actuality examines receptive actualization; non-derivative unity examines unification by prior principles; anti-composition examines constitutive grounding; transcendence of genus examines determination by a wider constitutive kind; essence–existence identity examines received existential actuality; attribute simplicity examines perfections that would complete an underlying divine subject. These routes overlap and carry different premises. They are a historically deep cumulative case, not six premise-neutral proofs.</w:t>
      </w:r>
    </w:p>
    <w:p>
      <w:pPr>
        <w:pStyle w:val="BodyText"/>
      </w:pPr>
      <w:r>
        <w:t xml:space="preserve">Their common negative result is precise: nothing more basic supplies the source with the actuality, unity, existence, determination, or perfection by which it is ultimate. The positive argument begins only when a perfection is independently warranted. If possessing that perfection required a distinct intrinsic actualizer that perfected the source, its possession would be received. Underivation excludes that receiving structure. This gives perfection without reception; it does not discover a seventh independent simplicity accomplishment.</w:t>
      </w:r>
    </w:p>
    <w:p>
      <w:pPr>
        <w:pStyle w:val="BodyText"/>
      </w:pPr>
      <w:r>
        <w:t xml:space="preserve">Nor does it manufacture the perfection itself. An argument for intelligence must establish intelligence; an argument for goodness must establish goodness. Simplicity then disciplines their mode of possession. Wisdom and power need not be synonyms to have one concrete realization. Conversely, merely showing that one realization can answer several descriptions does not prove that every divine perfection is realized in this way.</w:t>
      </w:r>
    </w:p>
    <w:p>
      <w:pPr>
        <w:pStyle w:val="BodyText"/>
      </w:pPr>
      <w:r>
        <w:t xml:space="preserve">Plenitude is this positive possession without completion by something more basic. It means neither featureless unity nor an inventory of acquired attributes. For finite goods whose complete character includes learning, embodiment, danger, or growth, the argument must distinguish their positive achievement from their receptive conditions. A creature’s good can remain genuinely creaturely without every element of its description being transferred to God.</w:t>
      </w:r>
    </w:p>
    <w:p>
      <w:pPr>
        <w:pStyle w:val="BodyText"/>
      </w:pPr>
      <w:r>
        <w:t xml:space="preserve">The audit leaves real questions. Scotist formalities, Palamite energies, and subsistent relations cannot be classified as parts by definition. In Trinitarian theology, the Son’s origin from the Father is not the reception of a missing divine perfection: unreceived divine actuality must not be confused with the Father’s personal unbegottenness. That distinction is doctrinally supplied; natural simplicity does not deduce the persons.</w:t>
      </w:r>
    </w:p>
    <w:p>
      <w:pPr>
        <w:pStyle w:val="BodyText"/>
      </w:pPr>
      <w:r>
        <w:t xml:space="preserve">Noncomposition, temporal changelessness, and identical intrinsic actuality across possible worlds remain separate claims. A noncomposite agent could have different intrinsic intentions in alternative possible situations without acquiring a part in time. Excluding this rival requires X and its independent defense.</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Structure</w:t>
            </w:r>
          </w:p>
        </w:tc>
        <w:tc>
          <w:tcPr/>
          <w:p>
            <w:pPr>
              <w:pStyle w:val="Compact"/>
              <w:jc w:val="left"/>
            </w:pPr>
            <w:r>
              <w:t xml:space="preserve">Bridge</w:t>
            </w:r>
          </w:p>
        </w:tc>
        <w:tc>
          <w:tcPr/>
          <w:p>
            <w:pPr>
              <w:pStyle w:val="Compact"/>
              <w:jc w:val="left"/>
            </w:pPr>
            <w:r>
              <w:t xml:space="preserve">Result</w:t>
            </w:r>
          </w:p>
        </w:tc>
        <w:tc>
          <w:tcPr/>
          <w:p>
            <w:pPr>
              <w:pStyle w:val="Compact"/>
              <w:jc w:val="left"/>
            </w:pPr>
            <w:r>
              <w:t xml:space="preserve">Boundary</w:t>
            </w:r>
          </w:p>
        </w:tc>
      </w:tr>
      <w:tr>
        <w:tc>
          <w:tcPr/>
          <w:p>
            <w:pPr>
              <w:pStyle w:val="Compact"/>
              <w:jc w:val="left"/>
            </w:pPr>
            <w:r>
              <w:t xml:space="preserve">1. Pure actuality</w:t>
            </w:r>
          </w:p>
        </w:tc>
        <w:tc>
          <w:tcPr/>
          <w:p>
            <w:pPr>
              <w:pStyle w:val="Compact"/>
              <w:jc w:val="left"/>
            </w:pPr>
            <w:r>
              <w:t xml:space="preserve">Receptive potency requires actuality from an actualizer</w:t>
            </w:r>
          </w:p>
        </w:tc>
        <w:tc>
          <w:tcPr/>
          <w:p>
            <w:pPr>
              <w:pStyle w:val="Compact"/>
              <w:jc w:val="left"/>
            </w:pPr>
            <w:r>
              <w:t xml:space="preserve">Excluded where it makes the source actual through what it receives</w:t>
            </w:r>
          </w:p>
        </w:tc>
        <w:tc>
          <w:tcPr/>
          <w:p>
            <w:pPr>
              <w:pStyle w:val="Compact"/>
              <w:jc w:val="left"/>
            </w:pPr>
            <w:r>
              <w:t xml:space="preserve">Active power for optional effects is not passive incompleteness.</w:t>
            </w:r>
          </w:p>
        </w:tc>
      </w:tr>
      <w:tr>
        <w:tc>
          <w:tcPr/>
          <w:p>
            <w:pPr>
              <w:pStyle w:val="Compact"/>
              <w:jc w:val="left"/>
            </w:pPr>
            <w:r>
              <w:t xml:space="preserve">2. Non-derivative unity</w:t>
            </w:r>
          </w:p>
        </w:tc>
        <w:tc>
          <w:tcPr/>
          <w:p>
            <w:pPr>
              <w:pStyle w:val="Compact"/>
              <w:jc w:val="left"/>
            </w:pPr>
            <w:r>
              <w:t xml:space="preserve">Prior principles or their coordination supply the whole’s unity</w:t>
            </w:r>
          </w:p>
        </w:tc>
        <w:tc>
          <w:tcPr/>
          <w:p>
            <w:pPr>
              <w:pStyle w:val="Compact"/>
              <w:jc w:val="left"/>
            </w:pPr>
            <w:r>
              <w:t xml:space="preserve">Excluded where the source receives the unity by which it is one</w:t>
            </w:r>
          </w:p>
        </w:tc>
        <w:tc>
          <w:tcPr/>
          <w:p>
            <w:pPr>
              <w:pStyle w:val="Compact"/>
              <w:jc w:val="left"/>
            </w:pPr>
            <w:r>
              <w:t xml:space="preserve">Plural descriptions alone do not establish a unifying cause.</w:t>
            </w:r>
          </w:p>
        </w:tc>
      </w:tr>
      <w:tr>
        <w:tc>
          <w:tcPr/>
          <w:p>
            <w:pPr>
              <w:pStyle w:val="Compact"/>
              <w:jc w:val="left"/>
            </w:pPr>
            <w:r>
              <w:t xml:space="preserve">3. Anti-composition</w:t>
            </w:r>
          </w:p>
        </w:tc>
        <w:tc>
          <w:tcPr/>
          <w:p>
            <w:pPr>
              <w:pStyle w:val="Compact"/>
              <w:jc w:val="left"/>
            </w:pPr>
            <w:r>
              <w:t xml:space="preserve">KD: proper intrinsic constituents ground the whole’s actuality</w:t>
            </w:r>
          </w:p>
        </w:tc>
        <w:tc>
          <w:tcPr/>
          <w:p>
            <w:pPr>
              <w:pStyle w:val="Compact"/>
              <w:jc w:val="left"/>
            </w:pPr>
            <w:r>
              <w:t xml:space="preserve">U + KD exclude those constituents</w:t>
            </w:r>
          </w:p>
        </w:tc>
        <w:tc>
          <w:tcPr/>
          <w:p>
            <w:pPr>
              <w:pStyle w:val="Compact"/>
              <w:jc w:val="left"/>
            </w:pPr>
            <w:r>
              <w:t xml:space="preserve">Whole-priority and brute-unity rivals challenge this direction of grounding.</w:t>
            </w:r>
          </w:p>
        </w:tc>
      </w:tr>
      <w:tr>
        <w:tc>
          <w:tcPr/>
          <w:p>
            <w:pPr>
              <w:pStyle w:val="Compact"/>
              <w:jc w:val="left"/>
            </w:pPr>
            <w:r>
              <w:t xml:space="preserve">4. No constitutive genus</w:t>
            </w:r>
          </w:p>
        </w:tc>
        <w:tc>
          <w:tcPr/>
          <w:p>
            <w:pPr>
              <w:pStyle w:val="Compact"/>
              <w:jc w:val="left"/>
            </w:pPr>
            <w:r>
              <w:t xml:space="preserve">A wider natural kind supplies principles determining what its member is</w:t>
            </w:r>
          </w:p>
        </w:tc>
        <w:tc>
          <w:tcPr/>
          <w:p>
            <w:pPr>
              <w:pStyle w:val="Compact"/>
              <w:jc w:val="left"/>
            </w:pPr>
            <w:r>
              <w:t xml:space="preserve">Excluded under the defended genus–constitution bridge</w:t>
            </w:r>
          </w:p>
        </w:tc>
        <w:tc>
          <w:tcPr/>
          <w:p>
            <w:pPr>
              <w:pStyle w:val="Compact"/>
              <w:jc w:val="left"/>
            </w:pPr>
            <w:r>
              <w:t xml:space="preserve">A shared logical concept is not thereby a common constitutive measure.</w:t>
            </w:r>
          </w:p>
        </w:tc>
      </w:tr>
      <w:tr>
        <w:tc>
          <w:tcPr/>
          <w:p>
            <w:pPr>
              <w:pStyle w:val="Compact"/>
              <w:jc w:val="left"/>
            </w:pPr>
            <w:r>
              <w:t xml:space="preserve">5. Essence–existence identity</w:t>
            </w:r>
          </w:p>
        </w:tc>
        <w:tc>
          <w:tcPr/>
          <w:p>
            <w:pPr>
              <w:pStyle w:val="Compact"/>
              <w:jc w:val="left"/>
            </w:pPr>
            <w:r>
              <w:t xml:space="preserve">A constituted recipient receives existential actuality from an actualizer</w:t>
            </w:r>
          </w:p>
        </w:tc>
        <w:tc>
          <w:tcPr/>
          <w:p>
            <w:pPr>
              <w:pStyle w:val="Compact"/>
              <w:jc w:val="left"/>
            </w:pPr>
            <w:r>
              <w:t xml:space="preserve">No received source existence under that ontology</w:t>
            </w:r>
          </w:p>
        </w:tc>
        <w:tc>
          <w:tcPr/>
          <w:p>
            <w:pPr>
              <w:pStyle w:val="Compact"/>
              <w:jc w:val="left"/>
            </w:pPr>
            <w:r>
              <w:t xml:space="preserve">Different concepts alone do not establish a real recipient–actualizer structure.</w:t>
            </w:r>
          </w:p>
        </w:tc>
      </w:tr>
      <w:tr>
        <w:tc>
          <w:tcPr/>
          <w:p>
            <w:pPr>
              <w:pStyle w:val="Compact"/>
              <w:jc w:val="left"/>
            </w:pPr>
            <w:r>
              <w:t xml:space="preserve">6. Attribute simplicity</w:t>
            </w:r>
          </w:p>
        </w:tc>
        <w:tc>
          <w:tcPr/>
          <w:p>
            <w:pPr>
              <w:pStyle w:val="Compact"/>
              <w:jc w:val="left"/>
            </w:pPr>
            <w:r>
              <w:t xml:space="preserve">Distinct intrinsic perfection-principles actualize or complete a divine subject</w:t>
            </w:r>
          </w:p>
        </w:tc>
        <w:tc>
          <w:tcPr/>
          <w:p>
            <w:pPr>
              <w:pStyle w:val="Compact"/>
              <w:jc w:val="left"/>
            </w:pPr>
            <w:r>
              <w:t xml:space="preserve">Excluded where the subject is perfected through them</w:t>
            </w:r>
          </w:p>
        </w:tc>
        <w:tc>
          <w:tcPr/>
          <w:p>
            <w:pPr>
              <w:pStyle w:val="Compact"/>
              <w:jc w:val="left"/>
            </w:pPr>
            <w:r>
              <w:t xml:space="preserve">Different meanings can share one realization; nonconstitutive formal distinction needs separate analysis.</w:t>
            </w:r>
          </w:p>
        </w:tc>
      </w:tr>
      <w:tr>
        <w:tc>
          <w:tcPr/>
          <w:p>
            <w:pPr>
              <w:pStyle w:val="Compact"/>
              <w:jc w:val="left"/>
            </w:pPr>
            <w:r>
              <w:t xml:space="preserve">Subject / accident</w:t>
            </w:r>
          </w:p>
        </w:tc>
        <w:tc>
          <w:tcPr/>
          <w:p>
            <w:pPr>
              <w:pStyle w:val="Compact"/>
              <w:jc w:val="left"/>
            </w:pPr>
            <w:r>
              <w:t xml:space="preserve">Accidental actuality depends on a subject and an acquired actualization</w:t>
            </w:r>
          </w:p>
        </w:tc>
        <w:tc>
          <w:tcPr/>
          <w:p>
            <w:pPr>
              <w:pStyle w:val="Compact"/>
              <w:jc w:val="left"/>
            </w:pPr>
            <w:r>
              <w:t xml:space="preserve">Excluded where it introduces the relevant receptive dependence</w:t>
            </w:r>
          </w:p>
        </w:tc>
        <w:tc>
          <w:tcPr/>
          <w:p>
            <w:pPr>
              <w:pStyle w:val="Compact"/>
              <w:jc w:val="left"/>
            </w:pPr>
            <w:r>
              <w:t xml:space="preserve">An external predication is not thereby an intrinsic accident.</w:t>
            </w:r>
          </w:p>
        </w:tc>
      </w:tr>
      <w:tr>
        <w:tc>
          <w:tcPr/>
          <w:p>
            <w:pPr>
              <w:pStyle w:val="Compact"/>
              <w:jc w:val="left"/>
            </w:pPr>
            <w:r>
              <w:t xml:space="preserve">Personal origin</w:t>
            </w:r>
          </w:p>
        </w:tc>
        <w:tc>
          <w:tcPr/>
          <w:p>
            <w:pPr>
              <w:pStyle w:val="Compact"/>
              <w:jc w:val="left"/>
            </w:pPr>
            <w:r>
              <w:t xml:space="preserve">Real opposition of origin without division of divine essence</w:t>
            </w:r>
          </w:p>
        </w:tc>
        <w:tc>
          <w:tcPr/>
          <w:p>
            <w:pPr>
              <w:pStyle w:val="Compact"/>
              <w:jc w:val="left"/>
            </w:pPr>
            <w:r>
              <w:t xml:space="preserve">Theological distinction, not derived from natural simplicity</w:t>
            </w:r>
          </w:p>
        </w:tc>
        <w:tc>
          <w:tcPr/>
          <w:p>
            <w:pPr>
              <w:pStyle w:val="Compact"/>
              <w:jc w:val="left"/>
            </w:pPr>
            <w:r>
              <w:t xml:space="preserve">Unreceived deity does not make Son and Spirit personally unoriginated.</w:t>
            </w:r>
          </w:p>
        </w:tc>
      </w:tr>
      <w:tr>
        <w:tc>
          <w:tcPr/>
          <w:p>
            <w:pPr>
              <w:pStyle w:val="Compact"/>
              <w:jc w:val="left"/>
            </w:pPr>
            <w:r>
              <w:t xml:space="preserve">Formalities / energies</w:t>
            </w:r>
          </w:p>
        </w:tc>
        <w:tc>
          <w:tcPr/>
          <w:p>
            <w:pPr>
              <w:pStyle w:val="Compact"/>
              <w:jc w:val="left"/>
            </w:pPr>
            <w:r>
              <w:t xml:space="preserve">Do the proposed distinctions actually constitute or actualize the source?</w:t>
            </w:r>
          </w:p>
        </w:tc>
        <w:tc>
          <w:tcPr/>
          <w:p>
            <w:pPr>
              <w:pStyle w:val="Compact"/>
              <w:jc w:val="left"/>
            </w:pPr>
            <w:r>
              <w:t xml:space="preserve">Case-specific; not automatically excluded</w:t>
            </w:r>
          </w:p>
        </w:tc>
        <w:tc>
          <w:tcPr/>
          <w:p>
            <w:pPr>
              <w:pStyle w:val="Compact"/>
              <w:jc w:val="left"/>
            </w:pPr>
            <w:r>
              <w:t xml:space="preserve">Scotist formalities and Palamite energies are not interchangeable accounts.</w:t>
            </w:r>
          </w:p>
        </w:tc>
      </w:tr>
      <w:tr>
        <w:tc>
          <w:tcPr/>
          <w:p>
            <w:pPr>
              <w:pStyle w:val="Compact"/>
              <w:jc w:val="left"/>
            </w:pPr>
            <w:r>
              <w:t xml:space="preserve">Intrinsic intention across worlds</w:t>
            </w:r>
          </w:p>
        </w:tc>
        <w:tc>
          <w:tcPr/>
          <w:p>
            <w:pPr>
              <w:pStyle w:val="Compact"/>
              <w:jc w:val="left"/>
            </w:pPr>
            <w:r>
              <w:t xml:space="preserve">A different intrinsic intentional profile in another possible world</w:t>
            </w:r>
          </w:p>
        </w:tc>
        <w:tc>
          <w:tcPr/>
          <w:p>
            <w:pPr>
              <w:pStyle w:val="Compact"/>
              <w:jc w:val="left"/>
            </w:pPr>
            <w:r>
              <w:t xml:space="preserve">Not excluded by noncomposition alone</w:t>
            </w:r>
          </w:p>
        </w:tc>
        <w:tc>
          <w:tcPr/>
          <w:p>
            <w:pPr>
              <w:pStyle w:val="Compact"/>
              <w:jc w:val="left"/>
            </w:pPr>
            <w:r>
              <w:t xml:space="preserve">X supplies the stronger commitment; temporal acquisition is another question.</w:t>
            </w:r>
          </w:p>
        </w:tc>
      </w:tr>
    </w:tbl>
    <w:bookmarkEnd w:id="81"/>
    <w:bookmarkStart w:id="82" w:name="X2d1a8dfacf732792c19313726f8a4e01691d033"/>
    <w:p>
      <w:pPr>
        <w:pStyle w:val="Heading2"/>
      </w:pPr>
      <w:r>
        <w:t xml:space="preserve">03 / A gift can be complete without being compulsory.</w:t>
      </w:r>
    </w:p>
    <w:p>
      <w:pPr>
        <w:pStyle w:val="FirstParagraph"/>
      </w:pPr>
      <w:r>
        <w:rPr>
          <w:b/>
          <w:bCs/>
        </w:rPr>
        <w:t xml:space="preserve">Status:</w:t>
      </w:r>
      <w:r>
        <w:t xml:space="preserve"> </w:t>
      </w:r>
      <w:r>
        <w:t xml:space="preserve">Additional modal premise.</w:t>
      </w:r>
    </w:p>
    <w:p>
      <w:pPr>
        <w:pStyle w:val="BodyText"/>
      </w:pPr>
      <w:r>
        <w:t xml:space="preserve">Non-exhaustion removes a claim of adequacy: no finite world expresses the whole source. A further modal argument must establish that creation could genuinely have been otherwise.</w:t>
      </w:r>
    </w:p>
    <w:p>
      <w:pPr>
        <w:pStyle w:val="BodyText"/>
      </w:pPr>
      <w:r>
        <w:t xml:space="preserve">The necessary emanator is a decisive countermodel. It is unlimited, complete, and undivided; one finite cosmos follows from it in every admitted situation. The effect never exhausts its source, but still cannot fail to exist. Being unnecessary for the giver’s completion is different from being metaphysically contingent.</w:t>
      </w:r>
    </w:p>
    <w:p>
      <w:pPr>
        <w:pStyle w:val="BodyText"/>
      </w:pPr>
      <w:r>
        <w:t xml:space="preserve">Aquinas offers a stronger argument: a rational will necessarily directed toward its complete good need not necessarily select each finite means or expression by which that good could be communicated. Where the end is already possessed, the proposed recipient is not required to complete it. This supports communication as a gift. Its warrant includes a theory of rational willing and alternative specification; source fullness alone supplies neither.</w:t>
      </w:r>
    </w:p>
    <w:p>
      <w:pPr>
        <w:pStyle w:val="BodyText"/>
      </w:pPr>
      <w:r>
        <w:t xml:space="preserve">Scotus sharpens the modal question. A later change of mind does not establish that a will could have acted otherwise at this act of choice. Synchronic contingency concerns that live alternative. It need not be represented as a temporal hesitation in God. Our possible-worlds reconstruction is modern, and the Scotist resource does not independently establish X.</w:t>
      </w:r>
    </w:p>
    <w:p>
      <w:pPr>
        <w:pStyle w:val="BodyText"/>
      </w:pPr>
      <w:r>
        <w:t xml:space="preserve">Distinguish necessary execution from necessary choice. Necessarily, if an infallibly efficacious intention creates A, A exists. It does not follow that the intention toward A is necessary. Collapse follows if the necessary intrinsic divine actuality necessarily entails that complete world-specific intention. Denying that entailment blocks this route to collapse; intelligent authorship must still explain the actual choice.</w:t>
      </w:r>
    </w:p>
    <w:p>
      <w:pPr>
        <w:pStyle w:val="BodyText"/>
      </w:pPr>
      <w:r>
        <w:t xml:space="preserve">The explorer tests a strong modal extension: A, B, and no creation are admissible. Their stipulated consistency is weaker than proof of their metaphysical possibility. One effect’s possible absence, each effect’s contingency, different whole orders, and deliberate noncreation are four different claims. Noncreation is particularly important: a complete source would possess its intrinsic perfection without any actual recipient.</w:t>
      </w:r>
    </w:p>
    <w:bookmarkEnd w:id="82"/>
    <w:bookmarkStart w:id="83" w:name="alternatives-reasons-choice-execution."/>
    <w:p>
      <w:pPr>
        <w:pStyle w:val="Heading2"/>
      </w:pPr>
      <w:r>
        <w:t xml:space="preserve">04 / Alternatives, reasons, choice, execution.</w:t>
      </w:r>
    </w:p>
    <w:p>
      <w:pPr>
        <w:pStyle w:val="FirstParagraph"/>
      </w:pPr>
      <w:r>
        <w:rPr>
          <w:b/>
          <w:bCs/>
        </w:rPr>
        <w:t xml:space="preserve">Status:</w:t>
      </w:r>
      <w:r>
        <w:t xml:space="preserve"> </w:t>
      </w:r>
      <w:r>
        <w:t xml:space="preserve">Constructive extension.</w:t>
      </w:r>
    </w:p>
    <w:p>
      <w:pPr>
        <w:pStyle w:val="BodyText"/>
      </w:pPr>
      <w:r>
        <w:t xml:space="preserve">A complete account must explain what is possible, why an option is fitting, who chooses it, and why the intended result actually occurs.</w:t>
      </w:r>
    </w:p>
    <w:p>
      <w:pPr>
        <w:pStyle w:val="BodyText"/>
      </w:pPr>
      <w:r>
        <w:t xml:space="preserve">Possibility concerns admissible alternatives. Reasons concern the goods apprehended in them. Choice concerns the agent’s actual intentional exercise toward one. Efficacy concerns its successful production. A possibility does not choose itself; a good reason need not uniquely determine a gift; a finite agent can choose and fail to execute. In a perfect creative agent, infallible execution still does not make selection necessary.</w:t>
      </w:r>
    </w:p>
    <w:p>
      <w:pPr>
        <w:pStyle w:val="BodyText"/>
      </w:pPr>
      <w:r>
        <w:t xml:space="preserve">The strongest lottery rival places the spontaneity at the source itself. A or B occurs, every created actuality remains source-dependent, and no external machine governs the result. What is missing is the source’s rational authorship of the difference. Alternatives and complete causal dependence therefore do not yet amount to freedom.</w:t>
      </w:r>
    </w:p>
    <w:p>
      <w:pPr>
        <w:pStyle w:val="BodyText"/>
      </w:pPr>
      <w:r>
        <w:t xml:space="preserve">The positive proposal adds understood possibilities and control of the actual action. The agent acts for a reason toward a determinate good. Where several gifts are fitting, a reason can justify giving without necessitating this unique recipient or form. Demanding a prior uniquely determining reason for every choice would impose necessitation on the account before examining it. Accepting voluntary action as an explanatory terminus is itself a metaphysical commitment, not a synonym for randomness.</w:t>
      </w:r>
    </w:p>
    <w:p>
      <w:pPr>
        <w:pStyle w:val="BodyText"/>
      </w:pPr>
      <w:r>
        <w:t xml:space="preserve">Intellect needs an independent positive bridge. Producing intelligible or intelligent effects establishes, at minimum, causal adequacy for them. It does not by itself exclude a noncognitive source with primitive powers to produce cognition. The stronger argument treats achieved understanding, apart from the receptive passage of learning, as a pure perfection; it then requires intrinsic ultimate possession of such perfections at the universal source. Accepting both premises warrants an intellective source. Rejecting the second leaves the weaker causal conclusion.</w:t>
      </w:r>
    </w:p>
    <w:p>
      <w:pPr>
        <w:pStyle w:val="BodyText"/>
      </w:pPr>
      <w:r>
        <w:t xml:space="preserve">Anselm helps distinguish rational excellence from sheer access to contraries. Inability to choose evil can coexist with freedom understood as rectitude for its own sake. That insight concerns the perfection of agency; genuine alternatives among good creations still require the separate modal argument.</w:t>
      </w:r>
    </w:p>
    <w:bookmarkEnd w:id="83"/>
    <w:bookmarkStart w:id="84" w:name="Xd82565e653ea35812172f59acf7bbc88b824273"/>
    <w:p>
      <w:pPr>
        <w:pStyle w:val="Heading2"/>
      </w:pPr>
      <w:r>
        <w:t xml:space="preserve">05 / The difference belongs to an intended action.</w:t>
      </w:r>
    </w:p>
    <w:p>
      <w:pPr>
        <w:pStyle w:val="FirstParagraph"/>
      </w:pPr>
      <w:r>
        <w:rPr>
          <w:b/>
          <w:bCs/>
        </w:rPr>
        <w:t xml:space="preserve">Status:</w:t>
      </w:r>
      <w:r>
        <w:t xml:space="preserve"> </w:t>
      </w:r>
      <w:r>
        <w:t xml:space="preserve">Candidate compatibility model.</w:t>
      </w:r>
    </w:p>
    <w:p>
      <w:pPr>
        <w:pStyle w:val="BodyText"/>
      </w:pPr>
      <w:r>
        <w:t xml:space="preserve">The agent’s action must explain its direction toward this world. Reading an intention backward from the finished effect would leave authorship unexplained.</w:t>
      </w:r>
    </w:p>
    <w:p>
      <w:pPr>
        <w:pStyle w:val="BodyText"/>
      </w:pPr>
      <w:r>
        <w:t xml:space="preserve">An understood plan represents a possible created order; it is not a separately existing Form. The source’s intentional action is directed toward that plan, and its efficacy makes the intended created order actual. The plan’s intelligibility, the actual choice, and the effect’s existence are distinct. Neither a catalogue of possibilities nor the finished world supplies the choice.</w:t>
      </w:r>
    </w:p>
    <w:p>
      <w:pPr>
        <w:pStyle w:val="BodyText"/>
      </w:pPr>
      <w:r>
        <w:t xml:space="preserve">The proposal distinguishes the agent’s intrinsic actuality from the complete action-fact: this agent intentionally producing this effect. It claims that real intentional relations need not be determined by intrinsic agent states alone. If the agent can freely originate such a relation without receiving a new perfection, complete creative actions can differ while intrinsic actuality remains the same. This is a substantive constructive bridge. Relational description by itself does not establish it.</w:t>
      </w:r>
    </w:p>
    <w:p>
      <w:pPr>
        <w:pStyle w:val="BodyText"/>
      </w:pPr>
      <w:r>
        <w:t xml:space="preserve">What makes</w:t>
      </w:r>
      <w:r>
        <w:t xml:space="preserve"> </w:t>
      </w:r>
      <w:r>
        <w:t xml:space="preserve">“</w:t>
      </w:r>
      <w:r>
        <w:t xml:space="preserve">the source wills A</w:t>
      </w:r>
      <w:r>
        <w:t xml:space="preserve">”</w:t>
      </w:r>
      <w:r>
        <w:t xml:space="preserve"> </w:t>
      </w:r>
      <w:r>
        <w:t xml:space="preserve">true is its actual intelligent exercise toward A. The choice originates with the agent; A is the produced effect, not a prior actualizer of the choosing. Truthmaking for a statement about an effect and cognitive or constitutive actualization of the agent are different relations. Explanation provisionally terminates in voluntary action rather than a prior necessitating selector. That stopping point must account for positive control and an understood reason.</w:t>
      </w:r>
    </w:p>
    <w:p>
      <w:pPr>
        <w:pStyle w:val="BodyText"/>
      </w:pPr>
      <w:r>
        <w:t xml:space="preserve">Choosing, acquiring perfection, and constituting the chooser are different operations. A finite action often involves all three, together with bodily changes and successive thought. The divine question asks which of those conditions belong to agency as such. It cannot be answered simply by subtracting the conditions of creaturely action; the remaining intentional relation must still explain direction, control, and efficacy.</w:t>
      </w:r>
    </w:p>
    <w:p>
      <w:pPr>
        <w:pStyle w:val="BodyText"/>
      </w:pPr>
      <w:r>
        <w:t xml:space="preserve">The strongest rival grants free action but places different intrinsic intentions in different possible worlds. That rival need not introduce parts or temporal acquisition. The relational proposal preserves X only if the world-specific intentional difference genuinely belongs to the complete action without changing the source’s intrinsic actuality. Merely renaming the difference</w:t>
      </w:r>
      <w:r>
        <w:t xml:space="preserve"> </w:t>
      </w:r>
      <w:r>
        <w:t xml:space="preserve">“</w:t>
      </w:r>
      <w:r>
        <w:t xml:space="preserve">extrinsic</w:t>
      </w:r>
      <w:r>
        <w:t xml:space="preserve">”</w:t>
      </w:r>
      <w:r>
        <w:t xml:space="preserve"> </w:t>
      </w:r>
      <w:r>
        <w:t xml:space="preserve">would evade this burden.</w:t>
      </w:r>
    </w:p>
    <w:p>
      <w:pPr>
        <w:pStyle w:val="BodyText"/>
      </w:pPr>
      <w:r>
        <w:t xml:space="preserve">Deliberate noncreation tests the account sharply. There would be no actual created effect to supply an external label. The source would retain its understood possibilities and active power while freely refraining from outward exercise. A successful relational theory must explain that agency too, without inventing an independent action-object between God and creatures.</w:t>
      </w:r>
    </w:p>
    <w:bookmarkEnd w:id="84"/>
    <w:bookmarkStart w:id="85" w:name="X898b7e1a6e799c8f0b6e894fabc56b759df944d"/>
    <w:p>
      <w:pPr>
        <w:pStyle w:val="Heading2"/>
      </w:pPr>
      <w:r>
        <w:t xml:space="preserve">06 / Knowledge through actual intelligent action.</w:t>
      </w:r>
    </w:p>
    <w:p>
      <w:pPr>
        <w:pStyle w:val="FirstParagraph"/>
      </w:pPr>
      <w:r>
        <w:rPr>
          <w:b/>
          <w:bCs/>
        </w:rPr>
        <w:t xml:space="preserve">Status:</w:t>
      </w:r>
      <w:r>
        <w:t xml:space="preserve"> </w:t>
      </w:r>
      <w:r>
        <w:t xml:space="preserve">Independent epistemic proposal.</w:t>
      </w:r>
    </w:p>
    <w:p>
      <w:pPr>
        <w:pStyle w:val="BodyText"/>
      </w:pPr>
      <w:r>
        <w:t xml:space="preserve">The source can know an effect through its own efficacious intention if it knows that actual intention and its efficacy. Knowing a power or every possible plan is insufficient.</w:t>
      </w:r>
    </w:p>
    <w:p>
      <w:pPr>
        <w:pStyle w:val="BodyText"/>
      </w:pPr>
      <w:r>
        <w:t xml:space="preserve">Productive knowledge reverses the receptive pattern of learning from a finished object. An intelligent agent apprehends a determinate intended content, knows its actual exercise toward it, and understands what that exercise accomplishes. Where the intention is infallibly efficacious, this warrants knowledge of the effect without observing it. Blind power could produce the same result; efficacy must therefore be joined to intelligent self-awareness.</w:t>
      </w:r>
    </w:p>
    <w:p>
      <w:pPr>
        <w:pStyle w:val="BodyText"/>
      </w:pPr>
      <w:r>
        <w:t xml:space="preserve">Three conditions remain distinct: awareness of the actual action, adequate disclosure of its effect through that action, and warrant sufficient for knowledge. Accuracy alone is insufficient. Nor does intrinsic self-knowledge automatically reveal a world-specific intention if X leaves the intrinsic profile invariant. The required self-awareness must reach the complete actual intentional action, including its particular direction.</w:t>
      </w:r>
    </w:p>
    <w:p>
      <w:pPr>
        <w:pStyle w:val="BodyText"/>
      </w:pPr>
      <w:r>
        <w:t xml:space="preserve">Aquinas explicitly joins knowledge-as-cause to willing. Augustine’s non-acquired knowledge and the Maximian distinction between known logoi and actual creatures support this explanatory direction. They are historical resources for the proposal; no single author is credited with the whole modern account or its resolution of every modal difficulty.</w:t>
      </w:r>
    </w:p>
    <w:p>
      <w:pPr>
        <w:pStyle w:val="BodyText"/>
      </w:pPr>
      <w:r>
        <w:t xml:space="preserve">Knowledge is answerable to truth: knowing that A exists requires A’s existence. This factivity does not show that A teaches or actualizes the knower. On the productive account, the effect exists through the intelligent exercise; it does not contribute a missing cognitive perfection to the source. Truthmaking for a creaturely proposition is thus compatible with the creature’s not being a cognitive actualizer of God.</w:t>
      </w:r>
    </w:p>
    <w:p>
      <w:pPr>
        <w:pStyle w:val="BodyText"/>
      </w:pPr>
      <w:r>
        <w:t xml:space="preserve">The further frontier is secondary freedom. Sustaining a free creature is not identical with choosing its intention. Knowing a wrongful act is not choosing its moral defect. Productive knowledge covers what the actual divine exercise adequately specifies or discloses; it cannot simply absorb every creaturely intention into God’s intention.</w:t>
      </w:r>
    </w:p>
    <w:p>
      <w:pPr>
        <w:pStyle w:val="BodyText"/>
      </w:pPr>
      <w:r>
        <w:t xml:space="preserve">A possible further bridge is direct non-receptive awareness of finite acts: created actuality is cognitively present to the underived intellect without informing it through acquired representations. Causal intimacy makes that proposal intelligible but does not establish cognitive presence. It needs its own argument, including an account of omissions, future contingents, and moral defects. Catholic doctrine supplies comprehensive divine knowledge as a theological commitment; this scoped philosophical model has not independently demonstrated omniscience.</w:t>
      </w:r>
    </w:p>
    <w:bookmarkEnd w:id="85"/>
    <w:bookmarkStart w:id="86" w:name="break-the-proposed-paths."/>
    <w:p>
      <w:pPr>
        <w:pStyle w:val="Heading2"/>
      </w:pPr>
      <w:r>
        <w:t xml:space="preserve">07 / Break the proposed paths.</w:t>
      </w:r>
    </w:p>
    <w:p>
      <w:pPr>
        <w:pStyle w:val="FirstParagraph"/>
      </w:pPr>
      <w:r>
        <w:rPr>
          <w:b/>
          <w:bCs/>
        </w:rPr>
        <w:t xml:space="preserve">Status:</w:t>
      </w:r>
      <w:r>
        <w:t xml:space="preserve"> </w:t>
      </w:r>
      <w:r>
        <w:t xml:space="preserve">Dependency explorer.</w:t>
      </w:r>
    </w:p>
    <w:p>
      <w:pPr>
        <w:pStyle w:val="BodyText"/>
      </w:pPr>
      <w:r>
        <w:t xml:space="preserve">Toggle commitments to see which documented arguments remain available. A selected premise is not an independently warranted truth.</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Bridge</w:t>
            </w:r>
          </w:p>
        </w:tc>
        <w:tc>
          <w:tcPr/>
          <w:p>
            <w:pPr>
              <w:pStyle w:val="Compact"/>
              <w:jc w:val="left"/>
            </w:pPr>
            <w:r>
              <w:t xml:space="preserve">Status</w:t>
            </w:r>
          </w:p>
        </w:tc>
        <w:tc>
          <w:tcPr/>
          <w:p>
            <w:pPr>
              <w:pStyle w:val="Compact"/>
              <w:jc w:val="left"/>
            </w:pPr>
            <w:r>
              <w:t xml:space="preserve">Content</w:t>
            </w:r>
          </w:p>
        </w:tc>
        <w:tc>
          <w:tcPr/>
          <w:p>
            <w:pPr>
              <w:pStyle w:val="Compact"/>
              <w:jc w:val="left"/>
            </w:pPr>
            <w:r>
              <w:t xml:space="preserve">Deletion diagnostic</w:t>
            </w:r>
          </w:p>
        </w:tc>
      </w:tr>
      <w:tr>
        <w:tc>
          <w:tcPr/>
          <w:p>
            <w:pPr>
              <w:pStyle w:val="Compact"/>
              <w:jc w:val="left"/>
            </w:pPr>
            <w:r>
              <w:t xml:space="preserve">U Source underivation</w:t>
            </w:r>
          </w:p>
        </w:tc>
        <w:tc>
          <w:tcPr/>
          <w:p>
            <w:pPr>
              <w:pStyle w:val="Compact"/>
              <w:jc w:val="left"/>
            </w:pPr>
            <w:r>
              <w:t xml:space="preserve">Inherited premise</w:t>
            </w:r>
          </w:p>
        </w:tc>
        <w:tc>
          <w:tcPr/>
          <w:p>
            <w:pPr>
              <w:pStyle w:val="Compact"/>
              <w:jc w:val="left"/>
            </w:pPr>
            <w:r>
              <w:t xml:space="preserve">No constitutive grounding of source actuality in something else.</w:t>
            </w:r>
          </w:p>
        </w:tc>
        <w:tc>
          <w:tcPr/>
          <w:p>
            <w:pPr>
              <w:pStyle w:val="Compact"/>
              <w:jc w:val="left"/>
            </w:pPr>
            <w:r>
              <w:t xml:space="preserve">A source may receive actuality or depend on constituents. Other retained simplicity theses could still block some cases; this toggle tracks this proof only.</w:t>
            </w:r>
          </w:p>
        </w:tc>
      </w:tr>
      <w:tr>
        <w:tc>
          <w:tcPr/>
          <w:p>
            <w:pPr>
              <w:pStyle w:val="Compact"/>
              <w:jc w:val="left"/>
            </w:pPr>
            <w:r>
              <w:t xml:space="preserve">KD Constitution grounds dependence</w:t>
            </w:r>
          </w:p>
        </w:tc>
        <w:tc>
          <w:tcPr/>
          <w:p>
            <w:pPr>
              <w:pStyle w:val="Compact"/>
              <w:jc w:val="left"/>
            </w:pPr>
            <w:r>
              <w:t xml:space="preserve">Inherited bridge</w:t>
            </w:r>
          </w:p>
        </w:tc>
        <w:tc>
          <w:tcPr/>
          <w:p>
            <w:pPr>
              <w:pStyle w:val="Compact"/>
              <w:jc w:val="left"/>
            </w:pPr>
            <w:r>
              <w:t xml:space="preserve">Proper intrinsic constituents contribute grounds of the whole’s actuality.</w:t>
            </w:r>
          </w:p>
        </w:tc>
        <w:tc>
          <w:tcPr/>
          <w:p>
            <w:pPr>
              <w:pStyle w:val="Compact"/>
              <w:jc w:val="left"/>
            </w:pPr>
            <w:r>
              <w:t xml:space="preserve">An efficiently uncaused or brute composite can evade the source noncomposition argument.</w:t>
            </w:r>
          </w:p>
        </w:tc>
      </w:tr>
      <w:tr>
        <w:tc>
          <w:tcPr/>
          <w:p>
            <w:pPr>
              <w:pStyle w:val="Compact"/>
              <w:jc w:val="left"/>
            </w:pPr>
            <w:r>
              <w:t xml:space="preserve">F Unbounded / bounded actuality profile</w:t>
            </w:r>
          </w:p>
        </w:tc>
        <w:tc>
          <w:tcPr/>
          <w:p>
            <w:pPr>
              <w:pStyle w:val="Compact"/>
              <w:jc w:val="left"/>
            </w:pPr>
            <w:r>
              <w:t xml:space="preserve">Inherited profile</w:t>
            </w:r>
          </w:p>
        </w:tc>
        <w:tc>
          <w:tcPr/>
          <w:p>
            <w:pPr>
              <w:pStyle w:val="Compact"/>
              <w:jc w:val="left"/>
            </w:pPr>
            <w:r>
              <w:t xml:space="preserve">FS and FC compare source and created actuality in respect e.</w:t>
            </w:r>
          </w:p>
        </w:tc>
        <w:tc>
          <w:tcPr/>
          <w:p>
            <w:pPr>
              <w:pStyle w:val="Compact"/>
              <w:jc w:val="left"/>
            </w:pPr>
            <w:r>
              <w:t xml:space="preserve">Finite effects need not fall below source measure. Infinity and finitude do not establish alternatives even when retained.</w:t>
            </w:r>
          </w:p>
        </w:tc>
      </w:tr>
      <w:tr>
        <w:tc>
          <w:tcPr/>
          <w:p>
            <w:pPr>
              <w:pStyle w:val="Compact"/>
              <w:jc w:val="left"/>
            </w:pPr>
            <w:r>
              <w:t xml:space="preserve">M Live creation alternatives</w:t>
            </w:r>
          </w:p>
        </w:tc>
        <w:tc>
          <w:tcPr/>
          <w:p>
            <w:pPr>
              <w:pStyle w:val="Compact"/>
              <w:jc w:val="left"/>
            </w:pPr>
            <w:r>
              <w:t xml:space="preserve">Additional premise</w:t>
            </w:r>
          </w:p>
        </w:tc>
        <w:tc>
          <w:tcPr/>
          <w:p>
            <w:pPr>
              <w:pStyle w:val="Compact"/>
              <w:jc w:val="left"/>
            </w:pPr>
            <w:r>
              <w:t xml:space="preserve">Admissible orders A, B, and no creation; their metaphysical possibility is asserted and needs warrant.</w:t>
            </w:r>
          </w:p>
        </w:tc>
        <w:tc>
          <w:tcPr/>
          <w:p>
            <w:pPr>
              <w:pStyle w:val="Compact"/>
              <w:jc w:val="left"/>
            </w:pPr>
            <w:r>
              <w:t xml:space="preserve">A necessary finite emanation remains compatible with the participation profile.</w:t>
            </w:r>
          </w:p>
        </w:tc>
      </w:tr>
      <w:tr>
        <w:tc>
          <w:tcPr/>
          <w:p>
            <w:pPr>
              <w:pStyle w:val="Compact"/>
              <w:jc w:val="left"/>
            </w:pPr>
            <w:r>
              <w:t xml:space="preserve">I Intelligible reasons and possibilities</w:t>
            </w:r>
          </w:p>
        </w:tc>
        <w:tc>
          <w:tcPr/>
          <w:p>
            <w:pPr>
              <w:pStyle w:val="Compact"/>
              <w:jc w:val="left"/>
            </w:pPr>
            <w:r>
              <w:t xml:space="preserve">Additional premise</w:t>
            </w:r>
          </w:p>
        </w:tc>
        <w:tc>
          <w:tcPr/>
          <w:p>
            <w:pPr>
              <w:pStyle w:val="Compact"/>
              <w:jc w:val="left"/>
            </w:pPr>
            <w:r>
              <w:t xml:space="preserve">The source understands possible expressions and their goods. Intelligence needs a positive-perfection bridge; producing cognition alone is weaker.</w:t>
            </w:r>
          </w:p>
        </w:tc>
        <w:tc>
          <w:tcPr/>
          <w:p>
            <w:pPr>
              <w:pStyle w:val="Compact"/>
              <w:jc w:val="left"/>
            </w:pPr>
            <w:r>
              <w:t xml:space="preserve">A choice made by the agent can remain uncomprehending; alternatives alone supply no rational understanding.</w:t>
            </w:r>
          </w:p>
        </w:tc>
      </w:tr>
      <w:tr>
        <w:tc>
          <w:tcPr/>
          <w:p>
            <w:pPr>
              <w:pStyle w:val="Compact"/>
              <w:jc w:val="left"/>
            </w:pPr>
            <w:r>
              <w:t xml:space="preserve">A Control of the action</w:t>
            </w:r>
          </w:p>
        </w:tc>
        <w:tc>
          <w:tcPr/>
          <w:p>
            <w:pPr>
              <w:pStyle w:val="Compact"/>
              <w:jc w:val="left"/>
            </w:pPr>
            <w:r>
              <w:t xml:space="preserve">Agency proposal</w:t>
            </w:r>
          </w:p>
        </w:tc>
        <w:tc>
          <w:tcPr/>
          <w:p>
            <w:pPr>
              <w:pStyle w:val="Compact"/>
              <w:jc w:val="left"/>
            </w:pPr>
            <w:r>
              <w:t xml:space="preserve">The actual choice originates in the source’s intentional control. A reason can render it intelligible without uniquely necessitating it.</w:t>
            </w:r>
          </w:p>
        </w:tc>
        <w:tc>
          <w:tcPr/>
          <w:p>
            <w:pPr>
              <w:pStyle w:val="Compact"/>
              <w:jc w:val="left"/>
            </w:pPr>
            <w:r>
              <w:t xml:space="preserve">An impersonal spontaneous process can select among alternatives while every effect remains source-dependent.</w:t>
            </w:r>
          </w:p>
        </w:tc>
      </w:tr>
      <w:tr>
        <w:tc>
          <w:tcPr/>
          <w:p>
            <w:pPr>
              <w:pStyle w:val="Compact"/>
              <w:jc w:val="left"/>
            </w:pPr>
            <w:r>
              <w:t xml:space="preserve">T Intention and effect correspond</w:t>
            </w:r>
          </w:p>
        </w:tc>
        <w:tc>
          <w:tcPr/>
          <w:p>
            <w:pPr>
              <w:pStyle w:val="Compact"/>
              <w:jc w:val="left"/>
            </w:pPr>
            <w:r>
              <w:t xml:space="preserve">Specification proposal</w:t>
            </w:r>
          </w:p>
        </w:tc>
        <w:tc>
          <w:tcPr/>
          <w:p>
            <w:pPr>
              <w:pStyle w:val="Compact"/>
              <w:jc w:val="left"/>
            </w:pPr>
            <w:r>
              <w:t xml:space="preserve">The agent’s action realizes its intended plan as an actual effect. A label on the effect is insufficient.</w:t>
            </w:r>
          </w:p>
        </w:tc>
        <w:tc>
          <w:tcPr/>
          <w:p>
            <w:pPr>
              <w:pStyle w:val="Compact"/>
              <w:jc w:val="left"/>
            </w:pPr>
            <w:r>
              <w:t xml:space="preserve">An intended plan need not coincide with the actual outcome. Other specification ontologies may supply a substitute.</w:t>
            </w:r>
          </w:p>
        </w:tc>
      </w:tr>
      <w:tr>
        <w:tc>
          <w:tcPr/>
          <w:p>
            <w:pPr>
              <w:pStyle w:val="Compact"/>
              <w:jc w:val="left"/>
            </w:pPr>
            <w:r>
              <w:t xml:space="preserve">R Awareness of the actual action</w:t>
            </w:r>
          </w:p>
        </w:tc>
        <w:tc>
          <w:tcPr/>
          <w:p>
            <w:pPr>
              <w:pStyle w:val="Compact"/>
              <w:jc w:val="left"/>
            </w:pPr>
            <w:r>
              <w:t xml:space="preserve">Epistemic proposal</w:t>
            </w:r>
          </w:p>
        </w:tc>
        <w:tc>
          <w:tcPr/>
          <w:p>
            <w:pPr>
              <w:pStyle w:val="Compact"/>
              <w:jc w:val="left"/>
            </w:pPr>
            <w:r>
              <w:t xml:space="preserve">Awareness discloses the source’s actual choice, rather than just its capacity or possible plans. Whether this counts as knowledge is examined separately.</w:t>
            </w:r>
          </w:p>
        </w:tc>
        <w:tc>
          <w:tcPr/>
          <w:p>
            <w:pPr>
              <w:pStyle w:val="Compact"/>
              <w:jc w:val="left"/>
            </w:pPr>
            <w:r>
              <w:t xml:space="preserve">Possibilities remain known while which exercise is actual is not disclosed. Other non-receptive epistemologies remain possible.</w:t>
            </w:r>
          </w:p>
        </w:tc>
      </w:tr>
      <w:tr>
        <w:tc>
          <w:tcPr/>
          <w:p>
            <w:pPr>
              <w:pStyle w:val="Compact"/>
              <w:jc w:val="left"/>
            </w:pPr>
            <w:r>
              <w:t xml:space="preserve">CT The action discloses its effect</w:t>
            </w:r>
          </w:p>
        </w:tc>
        <w:tc>
          <w:tcPr/>
          <w:p>
            <w:pPr>
              <w:pStyle w:val="Compact"/>
              <w:jc w:val="left"/>
            </w:pPr>
            <w:r>
              <w:t xml:space="preserve">Epistemic proposal</w:t>
            </w:r>
          </w:p>
        </w:tc>
        <w:tc>
          <w:tcPr/>
          <w:p>
            <w:pPr>
              <w:pStyle w:val="Compact"/>
              <w:jc w:val="left"/>
            </w:pPr>
            <w:r>
              <w:t xml:space="preserve">Awareness of the actual action adequately discloses its actual effect.</w:t>
            </w:r>
          </w:p>
        </w:tc>
        <w:tc>
          <w:tcPr/>
          <w:p>
            <w:pPr>
              <w:pStyle w:val="Compact"/>
              <w:jc w:val="left"/>
            </w:pPr>
            <w:r>
              <w:t xml:space="preserve">Awareness of one’s action need not disclose every external result. Scope and adequacy still need defending.</w:t>
            </w:r>
          </w:p>
        </w:tc>
      </w:tr>
      <w:tr>
        <w:tc>
          <w:tcPr/>
          <w:p>
            <w:pPr>
              <w:pStyle w:val="Compact"/>
              <w:jc w:val="left"/>
            </w:pPr>
            <w:r>
              <w:t xml:space="preserve">X Same intrinsic actuality across alternatives</w:t>
            </w:r>
          </w:p>
        </w:tc>
        <w:tc>
          <w:tcPr/>
          <w:p>
            <w:pPr>
              <w:pStyle w:val="Compact"/>
              <w:jc w:val="left"/>
            </w:pPr>
            <w:r>
              <w:t xml:space="preserve">Optional compatibility commitment</w:t>
            </w:r>
          </w:p>
        </w:tc>
        <w:tc>
          <w:tcPr/>
          <w:p>
            <w:pPr>
              <w:pStyle w:val="Compact"/>
              <w:jc w:val="left"/>
            </w:pPr>
            <w:r>
              <w:t xml:space="preserve">The source’s intrinsic profile is invariant across admitted created outcomes. Neither noncomposition nor temporal changelessness establishes this.</w:t>
            </w:r>
          </w:p>
        </w:tc>
        <w:tc>
          <w:tcPr/>
          <w:p>
            <w:pPr>
              <w:pStyle w:val="Compact"/>
              <w:jc w:val="left"/>
            </w:pPr>
            <w:r>
              <w:t xml:space="preserve">A rival can vary intrinsic intention across worlds while remaining noncomposite and underived.</w:t>
            </w:r>
          </w:p>
        </w:tc>
      </w:tr>
      <w:tr>
        <w:tc>
          <w:tcPr/>
          <w:p>
            <w:pPr>
              <w:pStyle w:val="Compact"/>
              <w:jc w:val="left"/>
            </w:pPr>
            <w:r>
              <w:t xml:space="preserve">EP Warrant for knowledge through one’s action</w:t>
            </w:r>
          </w:p>
        </w:tc>
        <w:tc>
          <w:tcPr/>
          <w:p>
            <w:pPr>
              <w:pStyle w:val="Compact"/>
              <w:jc w:val="left"/>
            </w:pPr>
            <w:r>
              <w:t xml:space="preserve">Epistemic bridge</w:t>
            </w:r>
          </w:p>
        </w:tc>
        <w:tc>
          <w:tcPr/>
          <w:p>
            <w:pPr>
              <w:pStyle w:val="Compact"/>
              <w:jc w:val="left"/>
            </w:pPr>
            <w:r>
              <w:t xml:space="preserve">Accurate awareness of the action and its effect counts as knowledge only with adequate warrant. Accuracy alone is insufficient.</w:t>
            </w:r>
          </w:p>
        </w:tc>
        <w:tc>
          <w:tcPr/>
          <w:p>
            <w:pPr>
              <w:pStyle w:val="Compact"/>
              <w:jc w:val="left"/>
            </w:pPr>
            <w:r>
              <w:t xml:space="preserve">Correct access records may coexist with an unsupported knowledge claim. If R is instead defined as fully warranted knowledge, this bridge is absorbed into that stronger premise.</w:t>
            </w:r>
          </w:p>
        </w:tc>
      </w:tr>
    </w:tbl>
    <w:p/>
    <w:tbl>
      <w:tblPr>
        <w:tblStyle w:val="TableGrid"/>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Proposed path</w:t>
            </w:r>
          </w:p>
        </w:tc>
        <w:tc>
          <w:tcPr/>
          <w:p>
            <w:pPr>
              <w:pStyle w:val="Compact"/>
              <w:jc w:val="left"/>
            </w:pPr>
            <w:r>
              <w:t xml:space="preserve">Premises</w:t>
            </w:r>
          </w:p>
        </w:tc>
        <w:tc>
          <w:tcPr/>
          <w:p>
            <w:pPr>
              <w:pStyle w:val="Compact"/>
              <w:jc w:val="left"/>
            </w:pPr>
            <w:r>
              <w:t xml:space="preserve">Exact status</w:t>
            </w:r>
          </w:p>
        </w:tc>
      </w:tr>
      <w:tr>
        <w:tc>
          <w:tcPr/>
          <w:p>
            <w:pPr>
              <w:pStyle w:val="Compact"/>
              <w:jc w:val="left"/>
            </w:pPr>
            <w:r>
              <w:t xml:space="preserve">Minimal noncomposition</w:t>
            </w:r>
          </w:p>
        </w:tc>
        <w:tc>
          <w:tcPr/>
          <w:p>
            <w:pPr>
              <w:pStyle w:val="Compact"/>
              <w:jc w:val="left"/>
            </w:pPr>
            <w:r>
              <w:t xml:space="preserve">U, KD</w:t>
            </w:r>
          </w:p>
        </w:tc>
        <w:tc>
          <w:tcPr/>
          <w:p>
            <w:pPr>
              <w:pStyle w:val="Compact"/>
              <w:jc w:val="left"/>
            </w:pPr>
            <w:r>
              <w:t xml:space="preserve">Conditional theorem: No proper intrinsic constituents, given the defended grounding bridge.</w:t>
            </w:r>
          </w:p>
        </w:tc>
      </w:tr>
      <w:tr>
        <w:tc>
          <w:tcPr/>
          <w:p>
            <w:pPr>
              <w:pStyle w:val="Compact"/>
              <w:jc w:val="left"/>
            </w:pPr>
            <w:r>
              <w:t xml:space="preserve">Finite non-exhaustion</w:t>
            </w:r>
          </w:p>
        </w:tc>
        <w:tc>
          <w:tcPr/>
          <w:p>
            <w:pPr>
              <w:pStyle w:val="Compact"/>
              <w:jc w:val="left"/>
            </w:pPr>
            <w:r>
              <w:t xml:space="preserve">F</w:t>
            </w:r>
          </w:p>
        </w:tc>
        <w:tc>
          <w:tcPr/>
          <w:p>
            <w:pPr>
              <w:pStyle w:val="Compact"/>
              <w:jc w:val="left"/>
            </w:pPr>
            <w:r>
              <w:t xml:space="preserve">Inherited conditional result: The selected source/receiver actuality measures are unequal; no contingency follows.</w:t>
            </w:r>
          </w:p>
        </w:tc>
      </w:tr>
      <w:tr>
        <w:tc>
          <w:tcPr/>
          <w:p>
            <w:pPr>
              <w:pStyle w:val="Compact"/>
              <w:jc w:val="left"/>
            </w:pPr>
            <w:r>
              <w:t xml:space="preserve">Whole-order alternatives</w:t>
            </w:r>
          </w:p>
        </w:tc>
        <w:tc>
          <w:tcPr/>
          <w:p>
            <w:pPr>
              <w:pStyle w:val="Compact"/>
              <w:jc w:val="left"/>
            </w:pPr>
            <w:r>
              <w:t xml:space="preserve">M</w:t>
            </w:r>
          </w:p>
        </w:tc>
        <w:tc>
          <w:tcPr/>
          <w:p>
            <w:pPr>
              <w:pStyle w:val="Compact"/>
              <w:jc w:val="left"/>
            </w:pPr>
            <w:r>
              <w:t xml:space="preserve">Additional modal premise: This is a disclosed extension, not a conclusion from infinity.</w:t>
            </w:r>
          </w:p>
        </w:tc>
      </w:tr>
      <w:tr>
        <w:tc>
          <w:tcPr/>
          <w:p>
            <w:pPr>
              <w:pStyle w:val="Compact"/>
              <w:jc w:val="left"/>
            </w:pPr>
            <w:r>
              <w:t xml:space="preserve">Intelligent intentional action</w:t>
            </w:r>
          </w:p>
        </w:tc>
        <w:tc>
          <w:tcPr/>
          <w:p>
            <w:pPr>
              <w:pStyle w:val="Compact"/>
              <w:jc w:val="left"/>
            </w:pPr>
            <w:r>
              <w:t xml:space="preserve">M, I, A</w:t>
            </w:r>
          </w:p>
        </w:tc>
        <w:tc>
          <w:tcPr/>
          <w:p>
            <w:pPr>
              <w:pStyle w:val="Compact"/>
              <w:jc w:val="left"/>
            </w:pPr>
            <w:r>
              <w:t xml:space="preserve">Conditional agency account: A control and intelligibility model is added; these are not established by the source profile.</w:t>
            </w:r>
          </w:p>
        </w:tc>
      </w:tr>
      <w:tr>
        <w:tc>
          <w:tcPr/>
          <w:p>
            <w:pPr>
              <w:pStyle w:val="Compact"/>
              <w:jc w:val="left"/>
            </w:pPr>
            <w:r>
              <w:t xml:space="preserve">The agent intentionally produces this effect</w:t>
            </w:r>
          </w:p>
        </w:tc>
        <w:tc>
          <w:tcPr/>
          <w:p>
            <w:pPr>
              <w:pStyle w:val="Compact"/>
              <w:jc w:val="left"/>
            </w:pPr>
            <w:r>
              <w:t xml:space="preserve">M, I, A, T</w:t>
            </w:r>
          </w:p>
        </w:tc>
        <w:tc>
          <w:tcPr/>
          <w:p>
            <w:pPr>
              <w:pStyle w:val="Compact"/>
              <w:jc w:val="left"/>
            </w:pPr>
            <w:r>
              <w:t xml:space="preserve">Candidate specification account: The added premise connects the chosen plan to the actual effect.</w:t>
            </w:r>
          </w:p>
        </w:tc>
      </w:tr>
      <w:tr>
        <w:tc>
          <w:tcPr/>
          <w:p>
            <w:pPr>
              <w:pStyle w:val="Compact"/>
              <w:jc w:val="left"/>
            </w:pPr>
            <w:r>
              <w:t xml:space="preserve">Action with the same intrinsic source actuality</w:t>
            </w:r>
          </w:p>
        </w:tc>
        <w:tc>
          <w:tcPr/>
          <w:p>
            <w:pPr>
              <w:pStyle w:val="Compact"/>
              <w:jc w:val="left"/>
            </w:pPr>
            <w:r>
              <w:t xml:space="preserve">U, KD, M, I, A, T, X</w:t>
            </w:r>
          </w:p>
        </w:tc>
        <w:tc>
          <w:tcPr/>
          <w:p>
            <w:pPr>
              <w:pStyle w:val="Compact"/>
              <w:jc w:val="left"/>
            </w:pPr>
            <w:r>
              <w:t xml:space="preserve">Candidate compatibility model: The relational account of intentional action still needs philosophical defense.</w:t>
            </w:r>
          </w:p>
        </w:tc>
      </w:tr>
      <w:tr>
        <w:tc>
          <w:tcPr/>
          <w:p>
            <w:pPr>
              <w:pStyle w:val="Compact"/>
              <w:jc w:val="left"/>
            </w:pPr>
            <w:r>
              <w:t xml:space="preserve">Knowledge of the effect without learning from it</w:t>
            </w:r>
          </w:p>
        </w:tc>
        <w:tc>
          <w:tcPr/>
          <w:p>
            <w:pPr>
              <w:pStyle w:val="Compact"/>
              <w:jc w:val="left"/>
            </w:pPr>
            <w:r>
              <w:t xml:space="preserve">I, A, T, R, CT, EP</w:t>
            </w:r>
          </w:p>
        </w:tc>
        <w:tc>
          <w:tcPr/>
          <w:p>
            <w:pPr>
              <w:pStyle w:val="Compact"/>
              <w:jc w:val="left"/>
            </w:pPr>
            <w:r>
              <w:t xml:space="preserve">Conditional epistemic account: Awareness of the action, disclosure of its effect, and explicit warrant; this does not establish omniscience.</w:t>
            </w:r>
          </w:p>
        </w:tc>
      </w:tr>
    </w:tbl>
    <w:bookmarkEnd w:id="86"/>
    <w:bookmarkStart w:id="87" w:name="distinct-arguments-one-architecture."/>
    <w:p>
      <w:pPr>
        <w:pStyle w:val="Heading2"/>
      </w:pPr>
      <w:r>
        <w:t xml:space="preserve">08 / Distinct arguments, one architecture.</w:t>
      </w:r>
    </w:p>
    <w:p>
      <w:pPr>
        <w:pStyle w:val="FirstParagraph"/>
      </w:pPr>
      <w:r>
        <w:rPr>
          <w:b/>
          <w:bCs/>
        </w:rPr>
        <w:t xml:space="preserve">Status:</w:t>
      </w:r>
      <w:r>
        <w:t xml:space="preserve"> </w:t>
      </w:r>
      <w:r>
        <w:t xml:space="preserve">Argument map.</w:t>
      </w:r>
    </w:p>
    <w:p>
      <w:pPr>
        <w:pStyle w:val="BodyText"/>
      </w:pPr>
      <w:r>
        <w:t xml:space="preserve">The arrows identify different explanatory jobs. A result about constitution cannot silently supply alternatives, intentional control, or cognitive warrant.</w:t>
      </w:r>
    </w:p>
    <w:p>
      <w:pPr>
        <w:pStyle w:val="BodyText"/>
      </w:pPr>
      <w:r>
        <w:t xml:space="preserve">The five working engines organize these tasks without pretending to be five metaphysical primitives. Determination–Realization asks what the relevant difference requires in reality. Dependence–Origin asks what supplies actuality, unity, or perfection. Possibility–Agency separates alternatives from actual choice. Manifestation–Measure asks what an action genuinely discloses. Goodness–Fulfillment asks why communication can be a good for its recipient without completing its source.</w:t>
      </w:r>
    </w:p>
    <w:p>
      <w:pPr>
        <w:pStyle w:val="BodyText"/>
      </w:pPr>
      <w:r>
        <w:t xml:space="preserve">Participation connects the inquiry to Part I: what is received is genuinely possessed by the creature. Intelligent exercise, expression of the source, and orientation toward fulfillment need further bridges. None is contained simply in the word</w:t>
      </w:r>
      <w:r>
        <w:t xml:space="preserve"> </w:t>
      </w:r>
      <w:r>
        <w:t xml:space="preserve">“</w:t>
      </w:r>
      <w:r>
        <w:t xml:space="preserve">received.</w:t>
      </w:r>
      <w:r>
        <w:t xml:space="preserve">”</w:t>
      </w:r>
    </w:p>
    <w:p>
      <w:pPr>
        <w:pStyle w:val="SourceCode"/>
      </w:pPr>
      <w:r>
        <w:rPr>
          <w:rStyle w:val="VerbatimChar"/>
        </w:rPr>
        <w:t xml:space="preserve">Adopted source profile</w:t>
      </w:r>
      <w:r>
        <w:br/>
      </w:r>
      <w:r>
        <w:rPr>
          <w:rStyle w:val="VerbatimChar"/>
        </w:rPr>
        <w:t xml:space="preserve">├─ U + KD → minimal noncomposition → separately examine stronger simplicity</w:t>
      </w:r>
      <w:r>
        <w:br/>
      </w:r>
      <w:r>
        <w:rPr>
          <w:rStyle w:val="VerbatimChar"/>
        </w:rPr>
        <w:t xml:space="preserve">└─ M → alternatives + I + A → a proposed intentional choice</w:t>
      </w:r>
      <w:r>
        <w:br/>
      </w:r>
      <w:r>
        <w:rPr>
          <w:rStyle w:val="VerbatimChar"/>
        </w:rPr>
        <w:t xml:space="preserve">   └─ T → the intended effect actually occurs</w:t>
      </w:r>
      <w:r>
        <w:br/>
      </w:r>
      <w:r>
        <w:rPr>
          <w:rStyle w:val="VerbatimChar"/>
        </w:rPr>
        <w:t xml:space="preserve">      ├─ X → the proposed account without intrinsic variation</w:t>
      </w:r>
      <w:r>
        <w:br/>
      </w:r>
      <w:r>
        <w:rPr>
          <w:rStyle w:val="VerbatimChar"/>
        </w:rPr>
        <w:t xml:space="preserve">      └─ R + CT + EP → warranted knowledge of the effect, given the premises</w:t>
      </w:r>
    </w:p>
    <w:p>
      <w:pPr>
        <w:pStyle w:val="FirstParagraph"/>
      </w:pPr>
      <w:r>
        <w:t xml:space="preserve">No arrow derives the source profile from participation alone.</w:t>
      </w:r>
    </w:p>
    <w:bookmarkEnd w:id="87"/>
    <w:bookmarkStart w:id="88" w:name="exemplars-at-different-joints."/>
    <w:p>
      <w:pPr>
        <w:pStyle w:val="Heading2"/>
      </w:pPr>
      <w:r>
        <w:t xml:space="preserve">09 / Exemplars at different joints.</w:t>
      </w:r>
    </w:p>
    <w:p>
      <w:pPr>
        <w:pStyle w:val="FirstParagraph"/>
      </w:pPr>
      <w:r>
        <w:rPr>
          <w:b/>
          <w:bCs/>
        </w:rPr>
        <w:t xml:space="preserve">Status:</w:t>
      </w:r>
      <w:r>
        <w:t xml:space="preserve"> </w:t>
      </w:r>
      <w:r>
        <w:t xml:space="preserve">Historical resources.</w:t>
      </w:r>
    </w:p>
    <w:p>
      <w:pPr>
        <w:pStyle w:val="BodyText"/>
      </w:pPr>
      <w:r>
        <w:t xml:space="preserve">No final system is attributed to these authors. The constructive architecture can develop beyond them, provided it preserves the achievements it retrieves and makes disagreement visible.</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Thinker</w:t>
            </w:r>
          </w:p>
        </w:tc>
        <w:tc>
          <w:tcPr/>
          <w:p>
            <w:pPr>
              <w:pStyle w:val="Compact"/>
              <w:jc w:val="left"/>
            </w:pPr>
            <w:r>
              <w:t xml:space="preserve">Role / locus</w:t>
            </w:r>
          </w:p>
        </w:tc>
        <w:tc>
          <w:tcPr/>
          <w:p>
            <w:pPr>
              <w:pStyle w:val="Compact"/>
              <w:jc w:val="left"/>
            </w:pPr>
            <w:r>
              <w:t xml:space="preserve">Use</w:t>
            </w:r>
          </w:p>
        </w:tc>
        <w:tc>
          <w:tcPr/>
          <w:p>
            <w:pPr>
              <w:pStyle w:val="Compact"/>
              <w:jc w:val="left"/>
            </w:pPr>
            <w:r>
              <w:t xml:space="preserve">Limit</w:t>
            </w:r>
          </w:p>
        </w:tc>
      </w:tr>
      <w:tr>
        <w:tc>
          <w:tcPr/>
          <w:p>
            <w:pPr>
              <w:pStyle w:val="Compact"/>
              <w:jc w:val="left"/>
            </w:pPr>
            <w:r>
              <w:t xml:space="preserve">Anselm</w:t>
            </w:r>
          </w:p>
        </w:tc>
        <w:tc>
          <w:tcPr/>
          <w:p>
            <w:pPr>
              <w:pStyle w:val="Compact"/>
              <w:jc w:val="left"/>
            </w:pPr>
            <w:r>
              <w:t xml:space="preserve">Constitution &amp; rational excellence — Monologion 17, 25; De libertate arbitrii 3; De veritate 12</w:t>
            </w:r>
          </w:p>
        </w:tc>
        <w:tc>
          <w:tcPr/>
          <w:p>
            <w:pPr>
              <w:pStyle w:val="Compact"/>
              <w:jc w:val="left"/>
            </w:pPr>
            <w:r>
              <w:t xml:space="preserve">Composite dependence, unchanged intrinsic nature with changing relative predication, and freedom as rectitude for its own sake.</w:t>
            </w:r>
          </w:p>
        </w:tc>
        <w:tc>
          <w:tcPr/>
          <w:p>
            <w:pPr>
              <w:pStyle w:val="Compact"/>
              <w:jc w:val="left"/>
            </w:pPr>
            <w:r>
              <w:t xml:space="preserve">The freedom passages are consulted through Williams’s specialist entry; they are not a deduction of creation alternatives.</w:t>
            </w:r>
          </w:p>
        </w:tc>
      </w:tr>
      <w:tr>
        <w:tc>
          <w:tcPr/>
          <w:p>
            <w:pPr>
              <w:pStyle w:val="Compact"/>
              <w:jc w:val="left"/>
            </w:pPr>
            <w:r>
              <w:t xml:space="preserve">Aquinas</w:t>
            </w:r>
          </w:p>
        </w:tc>
        <w:tc>
          <w:tcPr/>
          <w:p>
            <w:pPr>
              <w:pStyle w:val="Compact"/>
              <w:jc w:val="left"/>
            </w:pPr>
            <w:r>
              <w:t xml:space="preserve">Constitution, voluntary expression &amp; knowledge as cause — ST I q.3 a.7; q.14 aa.5, 8; q.19 aa.2–3</w:t>
            </w:r>
          </w:p>
        </w:tc>
        <w:tc>
          <w:tcPr/>
          <w:p>
            <w:pPr>
              <w:pStyle w:val="Compact"/>
              <w:jc w:val="left"/>
            </w:pPr>
            <w:r>
              <w:t xml:space="preserve">Composition depends on components; simple willing can communicate goodness; knowledge causes insofar as joined to willing.</w:t>
            </w:r>
          </w:p>
        </w:tc>
        <w:tc>
          <w:tcPr/>
          <w:p>
            <w:pPr>
              <w:pStyle w:val="Compact"/>
              <w:jc w:val="left"/>
            </w:pPr>
            <w:r>
              <w:t xml:space="preserve">His account supplies resources, not proof of the new relational account of action or a completed response to modal collapse.</w:t>
            </w:r>
          </w:p>
        </w:tc>
      </w:tr>
      <w:tr>
        <w:tc>
          <w:tcPr/>
          <w:p>
            <w:pPr>
              <w:pStyle w:val="Compact"/>
              <w:jc w:val="left"/>
            </w:pPr>
            <w:r>
              <w:t xml:space="preserve">Scotus</w:t>
            </w:r>
          </w:p>
        </w:tc>
        <w:tc>
          <w:tcPr/>
          <w:p>
            <w:pPr>
              <w:pStyle w:val="Compact"/>
              <w:jc w:val="left"/>
            </w:pPr>
            <w:r>
              <w:t xml:space="preserve">Live contingency — Williams,</w:t>
            </w:r>
            <w:r>
              <w:t xml:space="preserve"> </w:t>
            </w:r>
            <w:r>
              <w:t xml:space="preserve">“</w:t>
            </w:r>
            <w:r>
              <w:t xml:space="preserve">John Duns Scotus,</w:t>
            </w:r>
            <w:r>
              <w:t xml:space="preserve">”</w:t>
            </w:r>
            <w:r>
              <w:t xml:space="preserve"> </w:t>
            </w:r>
            <w:r>
              <w:t xml:space="preserve">§5.2; Lectura I d.39 as primary follow-up</w:t>
            </w:r>
          </w:p>
        </w:tc>
        <w:tc>
          <w:tcPr/>
          <w:p>
            <w:pPr>
              <w:pStyle w:val="Compact"/>
              <w:jc w:val="left"/>
            </w:pPr>
            <w:r>
              <w:t xml:space="preserve">Alternatives at the act of choice, rather than later changes of thought; freedom not merely intellectual appetite.</w:t>
            </w:r>
          </w:p>
        </w:tc>
        <w:tc>
          <w:tcPr/>
          <w:p>
            <w:pPr>
              <w:pStyle w:val="Compact"/>
              <w:jc w:val="left"/>
            </w:pPr>
            <w:r>
              <w:t xml:space="preserve">Current specialist interpretation consulted. Critical d.39 primary collation remains pending; identical intrinsic actuality across possible worlds is not inferred.</w:t>
            </w:r>
          </w:p>
        </w:tc>
      </w:tr>
      <w:tr>
        <w:tc>
          <w:tcPr/>
          <w:p>
            <w:pPr>
              <w:pStyle w:val="Compact"/>
              <w:jc w:val="left"/>
            </w:pPr>
            <w:r>
              <w:t xml:space="preserve">Augustine</w:t>
            </w:r>
          </w:p>
        </w:tc>
        <w:tc>
          <w:tcPr/>
          <w:p>
            <w:pPr>
              <w:pStyle w:val="Compact"/>
              <w:jc w:val="left"/>
            </w:pPr>
            <w:r>
              <w:t xml:space="preserve">Exemplar intelligence without cognitive acquisition — City of God XI.10, XI.21; De diversis quaestionibus 83 q.46</w:t>
            </w:r>
          </w:p>
        </w:tc>
        <w:tc>
          <w:tcPr/>
          <w:p>
            <w:pPr>
              <w:pStyle w:val="Compact"/>
              <w:jc w:val="left"/>
            </w:pPr>
            <w:r>
              <w:t xml:space="preserve">Divine wisdom and immutable knowledge are not received from creatures; ideas are reasons in divine intelligence, rather than external standards.</w:t>
            </w:r>
          </w:p>
        </w:tc>
        <w:tc>
          <w:tcPr/>
          <w:p>
            <w:pPr>
              <w:pStyle w:val="Compact"/>
              <w:jc w:val="left"/>
            </w:pPr>
            <w:r>
              <w:t xml:space="preserve">City of God passages are primary witnesses; q.46 remains a primary collation lead in this project.</w:t>
            </w:r>
          </w:p>
        </w:tc>
      </w:tr>
      <w:tr>
        <w:tc>
          <w:tcPr/>
          <w:p>
            <w:pPr>
              <w:pStyle w:val="Compact"/>
              <w:jc w:val="left"/>
            </w:pPr>
            <w:r>
              <w:t xml:space="preserve">Dionysius &amp; Maximus</w:t>
            </w:r>
          </w:p>
        </w:tc>
        <w:tc>
          <w:tcPr/>
          <w:p>
            <w:pPr>
              <w:pStyle w:val="Compact"/>
              <w:jc w:val="left"/>
            </w:pPr>
            <w:r>
              <w:t xml:space="preserve">Nonpartition &amp; determinate intelligibility — Divine Names II.5, V.8; Ambiguum 7</w:t>
            </w:r>
          </w:p>
        </w:tc>
        <w:tc>
          <w:tcPr/>
          <w:p>
            <w:pPr>
              <w:pStyle w:val="Compact"/>
              <w:jc w:val="left"/>
            </w:pPr>
            <w:r>
              <w:t xml:space="preserve">Undivided communication and differentiated logoi support intelligible finite expression without independent Forms.</w:t>
            </w:r>
          </w:p>
        </w:tc>
        <w:tc>
          <w:tcPr/>
          <w:p>
            <w:pPr>
              <w:pStyle w:val="Compact"/>
              <w:jc w:val="left"/>
            </w:pPr>
            <w:r>
              <w:t xml:space="preserve">The Greek digital witnesses have OCR/provenance limits. Neither text is made to teach necessary emanation or the proposed specification model.</w:t>
            </w:r>
          </w:p>
        </w:tc>
      </w:tr>
      <w:tr>
        <w:tc>
          <w:tcPr/>
          <w:p>
            <w:pPr>
              <w:pStyle w:val="Compact"/>
              <w:jc w:val="left"/>
            </w:pPr>
            <w:r>
              <w:t xml:space="preserve">Bonaventure &amp; Nyssa</w:t>
            </w:r>
          </w:p>
        </w:tc>
        <w:tc>
          <w:tcPr/>
          <w:p>
            <w:pPr>
              <w:pStyle w:val="Compact"/>
              <w:jc w:val="left"/>
            </w:pPr>
            <w:r>
              <w:t xml:space="preserve">Continuity with participation — Itinerarium II–III, VI.2; On the Making of Man XVI</w:t>
            </w:r>
          </w:p>
        </w:tc>
        <w:tc>
          <w:tcPr/>
          <w:p>
            <w:pPr>
              <w:pStyle w:val="Compact"/>
              <w:jc w:val="left"/>
            </w:pPr>
            <w:r>
              <w:t xml:space="preserve">Exemplar expression and finite measure; unlimited source excess remains a constraint on agency theory.</w:t>
            </w:r>
          </w:p>
        </w:tc>
        <w:tc>
          <w:tcPr/>
          <w:p>
            <w:pPr>
              <w:pStyle w:val="Compact"/>
              <w:jc w:val="left"/>
            </w:pPr>
            <w:r>
              <w:t xml:space="preserve">Trinitarian diffusion of goodness is not an argument for necessary created production; Nyssen infinity does not establish modal alternatives.</w:t>
            </w:r>
          </w:p>
        </w:tc>
      </w:tr>
      <w:tr>
        <w:tc>
          <w:tcPr/>
          <w:p>
            <w:pPr>
              <w:pStyle w:val="Compact"/>
              <w:jc w:val="left"/>
            </w:pPr>
            <w:r>
              <w:t xml:space="preserve">Eriugena &amp; Przywara</w:t>
            </w:r>
          </w:p>
        </w:tc>
        <w:tc>
          <w:tcPr/>
          <w:p>
            <w:pPr>
              <w:pStyle w:val="Compact"/>
              <w:jc w:val="left"/>
            </w:pPr>
            <w:r>
              <w:t xml:space="preserve">Expression / constitution stress test — Periphyseon I.446D, I.455B; Analogia Entis</w:t>
            </w:r>
          </w:p>
        </w:tc>
        <w:tc>
          <w:tcPr/>
          <w:p>
            <w:pPr>
              <w:pStyle w:val="Compact"/>
              <w:jc w:val="left"/>
            </w:pPr>
            <w:r>
              <w:t xml:space="preserve">Theophany and the Creator–creature interval test whether real manifestation becomes source constitution.</w:t>
            </w:r>
          </w:p>
        </w:tc>
        <w:tc>
          <w:tcPr/>
          <w:p>
            <w:pPr>
              <w:pStyle w:val="Compact"/>
              <w:jc w:val="left"/>
            </w:pPr>
            <w:r>
              <w:t xml:space="preserve">Relevant earlier dossiers are reused; Przywara’s full text remains unconsulted. Greater dissimilarity is not a substitute for a bridge argument.</w:t>
            </w:r>
          </w:p>
        </w:tc>
      </w:tr>
      <w:tr>
        <w:tc>
          <w:tcPr/>
          <w:p>
            <w:pPr>
              <w:pStyle w:val="Compact"/>
              <w:jc w:val="left"/>
            </w:pPr>
            <w:r>
              <w:t xml:space="preserve">Newman and further resources</w:t>
            </w:r>
          </w:p>
        </w:tc>
        <w:tc>
          <w:tcPr/>
          <w:p>
            <w:pPr>
              <w:pStyle w:val="Compact"/>
              <w:jc w:val="left"/>
            </w:pPr>
            <w:r>
              <w:t xml:space="preserve">Development &amp; adversarial control — Essay on Development ch.V; Vallicella,</w:t>
            </w:r>
            <w:r>
              <w:t xml:space="preserve"> </w:t>
            </w:r>
            <w:r>
              <w:t xml:space="preserve">“</w:t>
            </w:r>
            <w:r>
              <w:t xml:space="preserve">Divine Simplicity,</w:t>
            </w:r>
            <w:r>
              <w:t xml:space="preserve">”</w:t>
            </w:r>
            <w:r>
              <w:t xml:space="preserve"> </w:t>
            </w:r>
            <w:r>
              <w:t xml:space="preserve">§§6–7</w:t>
            </w:r>
          </w:p>
        </w:tc>
        <w:tc>
          <w:tcPr/>
          <w:p>
            <w:pPr>
              <w:pStyle w:val="Compact"/>
              <w:jc w:val="left"/>
            </w:pPr>
            <w:r>
              <w:t xml:space="preserve">Organic development may introduce new explanatory concepts; contemporary objections test truthmaking and modal consistency.</w:t>
            </w:r>
          </w:p>
        </w:tc>
        <w:tc>
          <w:tcPr/>
          <w:p>
            <w:pPr>
              <w:pStyle w:val="Compact"/>
              <w:jc w:val="left"/>
            </w:pPr>
            <w:r>
              <w:t xml:space="preserve">Newman provides an analogy, not doctrinal certification. Modern discussion does not predetermine the constructive result.</w:t>
            </w:r>
          </w:p>
        </w:tc>
      </w:tr>
    </w:tbl>
    <w:bookmarkEnd w:id="88"/>
    <w:bookmarkStart w:id="89" w:name="Xd78e634de97dd968378de14ccd8ccef1a8fe95e"/>
    <w:p>
      <w:pPr>
        <w:pStyle w:val="Heading2"/>
      </w:pPr>
      <w:r>
        <w:t xml:space="preserve">10 / Development has constraints, not a fixed ceiling.</w:t>
      </w:r>
    </w:p>
    <w:p>
      <w:pPr>
        <w:pStyle w:val="FirstParagraph"/>
      </w:pPr>
      <w:r>
        <w:rPr>
          <w:b/>
          <w:bCs/>
        </w:rPr>
        <w:t xml:space="preserve">Status:</w:t>
      </w:r>
      <w:r>
        <w:t xml:space="preserve"> </w:t>
      </w:r>
      <w:r>
        <w:t xml:space="preserve">Provisional continuity assessment.</w:t>
      </w:r>
    </w:p>
    <w:p>
      <w:pPr>
        <w:pStyle w:val="BodyText"/>
      </w:pPr>
      <w:r>
        <w:t xml:space="preserve">Newman is an analogical methodological guide. Historical continuity neither guarantees metaphysical truth nor forbids a genuinely new explanatory distinction.</w:t>
      </w:r>
    </w:p>
    <w:p>
      <w:pPr>
        <w:pStyle w:val="BodyText"/>
      </w:pPr>
      <w:r>
        <w:t xml:space="preserve">The candidate preserves type by retaining an uncreated source, real finite recipients, communication without partition, and perfection without divine completion. It conserves the distinctions between possibility and actualization, personal origin and created dependence, intelligibility and knowledge. It assimilates exemplarism, rational willing, and live contingency without making their historical vocabularies interchangeable.</w:t>
      </w:r>
    </w:p>
    <w:p>
      <w:pPr>
        <w:pStyle w:val="BodyText"/>
      </w:pPr>
      <w:r>
        <w:t xml:space="preserve">Its positive development is the conjunction of determinate fullness and gratuitous communication. The source need not be emptied of wisdom, goodness, or agency to remain simple; the creature need not become a divine constituent to receive a real good. That conjunction is historically rooted. The relational account of different complete creative actions under X is a further constructive proposal, and its independent warrant remains at issue.</w:t>
      </w:r>
    </w:p>
    <w:p>
      <w:pPr>
        <w:pStyle w:val="BodyText"/>
      </w:pPr>
      <w:r>
        <w:t xml:space="preserve">Logical sequence requires a named bridge at each passage: negative simplicity to warranted positive perfection; fullness to possible communication; alternatives to actual authorship; productive action to knowledge. The proposed architecture preserves the noncomposition theorem while exposing these additional costs. Historical anticipation of its parts is neither proof of the whole nor evidence that it is unprecedented.</w:t>
      </w:r>
    </w:p>
    <w:p>
      <w:pPr>
        <w:pStyle w:val="BodyText"/>
      </w:pPr>
      <w:r>
        <w:t xml:space="preserve">Chronic vigour cannot yet be demonstrated. Present explanatory stability is a provisional test: does the synthesis clarify the difficult joints while preserving real distinctions? If its relational account undermines the defended simplicity account or turns agency into a description of the outcome, development must revise or reject that account rather than harmonize the conflict verbally.</w:t>
      </w:r>
    </w:p>
    <w:bookmarkEnd w:id="89"/>
    <w:bookmarkStart w:id="96" w:name="every-claim-has-an-evidence-status."/>
    <w:p>
      <w:pPr>
        <w:pStyle w:val="Heading2"/>
      </w:pPr>
      <w:r>
        <w:t xml:space="preserve">11 / Every claim has an evidence status.</w:t>
      </w:r>
    </w:p>
    <w:p>
      <w:pPr>
        <w:pStyle w:val="FirstParagraph"/>
      </w:pPr>
      <w:r>
        <w:rPr>
          <w:b/>
          <w:bCs/>
        </w:rPr>
        <w:t xml:space="preserve">Status:</w:t>
      </w:r>
      <w:r>
        <w:t xml:space="preserve"> </w:t>
      </w:r>
      <w:r>
        <w:t xml:space="preserve">Claim-level source ledger.</w:t>
      </w:r>
    </w:p>
    <w:p>
      <w:pPr>
        <w:pStyle w:val="BodyText"/>
      </w:pPr>
      <w:r>
        <w:t xml:space="preserve">Current specialist entries and selected primary passages were inspected. Previously consulted witnesses are distinguished from critical editions and monographs still awaiting direct examination.</w:t>
      </w:r>
    </w:p>
    <w:tbl>
      <w:tblPr>
        <w:tblStyle w:val="TableGrid"/>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Source</w:t>
            </w:r>
          </w:p>
        </w:tc>
        <w:tc>
          <w:tcPr/>
          <w:p>
            <w:pPr>
              <w:pStyle w:val="Compact"/>
              <w:jc w:val="left"/>
            </w:pPr>
            <w:r>
              <w:t xml:space="preserve">Status / locus</w:t>
            </w:r>
          </w:p>
        </w:tc>
        <w:tc>
          <w:tcPr/>
          <w:p>
            <w:pPr>
              <w:pStyle w:val="Compact"/>
              <w:jc w:val="left"/>
            </w:pPr>
            <w:r>
              <w:t xml:space="preserve">Establishes</w:t>
            </w:r>
          </w:p>
        </w:tc>
        <w:tc>
          <w:tcPr/>
          <w:p>
            <w:pPr>
              <w:pStyle w:val="Compact"/>
              <w:jc w:val="left"/>
            </w:pPr>
            <w:r>
              <w:t xml:space="preserve">Constructive use / limits</w:t>
            </w:r>
          </w:p>
        </w:tc>
      </w:tr>
      <w:tr>
        <w:tc>
          <w:tcPr/>
          <w:p>
            <w:pPr>
              <w:pStyle w:val="Compact"/>
              <w:jc w:val="left"/>
            </w:pPr>
            <w:hyperlink r:id="rId51">
              <w:r>
                <w:rPr>
                  <w:rStyle w:val="Hyperlink"/>
                </w:rPr>
                <w:t xml:space="preserve">Aquinas: constitution–dependence</w:t>
              </w:r>
            </w:hyperlink>
          </w:p>
        </w:tc>
        <w:tc>
          <w:tcPr/>
          <w:p>
            <w:pPr>
              <w:pStyle w:val="Compact"/>
              <w:jc w:val="left"/>
            </w:pPr>
            <w:r>
              <w:t xml:space="preserve">primary — ST I q.3 a.7, answer</w:t>
            </w:r>
          </w:p>
        </w:tc>
        <w:tc>
          <w:tcPr/>
          <w:p>
            <w:pPr>
              <w:pStyle w:val="Compact"/>
              <w:jc w:val="left"/>
            </w:pPr>
            <w:r>
              <w:t xml:space="preserve">English Dominican Fathers, Complete American Edition; Gutenberg #17611 mirror. An explicit argument within Aquinas’s broader first-being and act/potency framework.</w:t>
            </w:r>
          </w:p>
        </w:tc>
        <w:tc>
          <w:tcPr/>
          <w:p>
            <w:pPr>
              <w:pStyle w:val="Compact"/>
              <w:jc w:val="left"/>
            </w:pPr>
            <w:r>
              <w:t xml:space="preserve">KD is retrieved as a separately defended bridge; its universal truth is not established by attribution.</w:t>
            </w:r>
          </w:p>
        </w:tc>
      </w:tr>
      <w:tr>
        <w:tc>
          <w:tcPr/>
          <w:p>
            <w:pPr>
              <w:pStyle w:val="Compact"/>
              <w:jc w:val="left"/>
            </w:pPr>
            <w:hyperlink r:id="rId51">
              <w:r>
                <w:rPr>
                  <w:rStyle w:val="Hyperlink"/>
                </w:rPr>
                <w:t xml:space="preserve">Aquinas: plenitude and optional communication</w:t>
              </w:r>
            </w:hyperlink>
          </w:p>
        </w:tc>
        <w:tc>
          <w:tcPr/>
          <w:p>
            <w:pPr>
              <w:pStyle w:val="Compact"/>
              <w:jc w:val="left"/>
            </w:pPr>
            <w:r>
              <w:t xml:space="preserve">primary — ST I q.19 aa.2–3, especially a.3 answer and ad5</w:t>
            </w:r>
          </w:p>
        </w:tc>
        <w:tc>
          <w:tcPr/>
          <w:p>
            <w:pPr>
              <w:pStyle w:val="Compact"/>
              <w:jc w:val="left"/>
            </w:pPr>
            <w:r>
              <w:t xml:space="preserve">Same inspected primary translation. A rational-volitional argument and explicit self-determination claim, stronger than non-exhaustion alone.</w:t>
            </w:r>
          </w:p>
        </w:tc>
        <w:tc>
          <w:tcPr/>
          <w:p>
            <w:pPr>
              <w:pStyle w:val="Compact"/>
              <w:jc w:val="left"/>
            </w:pPr>
            <w:r>
              <w:t xml:space="preserve">Candidate warrant for gift-oriented specification; voluntariness and alternatives remain independently assessed.</w:t>
            </w:r>
          </w:p>
        </w:tc>
      </w:tr>
      <w:tr>
        <w:tc>
          <w:tcPr/>
          <w:p>
            <w:pPr>
              <w:pStyle w:val="Compact"/>
              <w:jc w:val="left"/>
            </w:pPr>
            <w:hyperlink r:id="rId51">
              <w:r>
                <w:rPr>
                  <w:rStyle w:val="Hyperlink"/>
                </w:rPr>
                <w:t xml:space="preserve">Aquinas: knowing through self as cause</w:t>
              </w:r>
            </w:hyperlink>
          </w:p>
        </w:tc>
        <w:tc>
          <w:tcPr/>
          <w:p>
            <w:pPr>
              <w:pStyle w:val="Compact"/>
              <w:jc w:val="left"/>
            </w:pPr>
            <w:r>
              <w:t xml:space="preserve">primary — ST I q.14 aa.5, 8; q.19 a.3 ad6</w:t>
            </w:r>
          </w:p>
        </w:tc>
        <w:tc>
          <w:tcPr/>
          <w:p>
            <w:pPr>
              <w:pStyle w:val="Compact"/>
              <w:jc w:val="left"/>
            </w:pPr>
            <w:r>
              <w:t xml:space="preserve">Same inspected primary translation. Distinctions among intelligible content, actual production, and epistemic/causal direction.</w:t>
            </w:r>
          </w:p>
        </w:tc>
        <w:tc>
          <w:tcPr/>
          <w:p>
            <w:pPr>
              <w:pStyle w:val="Compact"/>
              <w:jc w:val="left"/>
            </w:pPr>
            <w:r>
              <w:t xml:space="preserve">Supports the proposed direction; does not alone prove awareness of one’s own contingent intentional action.</w:t>
            </w:r>
          </w:p>
        </w:tc>
      </w:tr>
      <w:tr>
        <w:tc>
          <w:tcPr/>
          <w:p>
            <w:pPr>
              <w:pStyle w:val="Compact"/>
              <w:jc w:val="left"/>
            </w:pPr>
            <w:hyperlink r:id="rId90">
              <w:r>
                <w:rPr>
                  <w:rStyle w:val="Hyperlink"/>
                </w:rPr>
                <w:t xml:space="preserve">Thomas Williams: John Duns Scotus</w:t>
              </w:r>
            </w:hyperlink>
          </w:p>
        </w:tc>
        <w:tc>
          <w:tcPr/>
          <w:p>
            <w:pPr>
              <w:pStyle w:val="Compact"/>
              <w:jc w:val="left"/>
            </w:pPr>
            <w:r>
              <w:t xml:space="preserve">secondary — SEP §5.2; also §4.2 for intuitive cognition</w:t>
            </w:r>
          </w:p>
        </w:tc>
        <w:tc>
          <w:tcPr/>
          <w:p>
            <w:pPr>
              <w:pStyle w:val="Compact"/>
              <w:jc w:val="left"/>
            </w:pPr>
            <w:r>
              <w:t xml:space="preserve">Current publisher entry, substantive revision 15 December 2025; inspected. A specialist reconstruction with Dumont/MacDonald and Cross references.</w:t>
            </w:r>
          </w:p>
        </w:tc>
        <w:tc>
          <w:tcPr/>
          <w:p>
            <w:pPr>
              <w:pStyle w:val="Compact"/>
              <w:jc w:val="left"/>
            </w:pPr>
            <w:r>
              <w:t xml:space="preserve">Modal and epistemic resources, with its interpretation of the Aquinas contrast retained as interpretation.</w:t>
            </w:r>
          </w:p>
        </w:tc>
      </w:tr>
      <w:tr>
        <w:tc>
          <w:tcPr/>
          <w:p>
            <w:pPr>
              <w:pStyle w:val="Compact"/>
              <w:jc w:val="left"/>
            </w:pPr>
            <w:hyperlink r:id="rId91">
              <w:r>
                <w:rPr>
                  <w:rStyle w:val="Hyperlink"/>
                </w:rPr>
                <w:t xml:space="preserve">Thomas Williams: Anselm of Canterbury</w:t>
              </w:r>
            </w:hyperlink>
          </w:p>
        </w:tc>
        <w:tc>
          <w:tcPr/>
          <w:p>
            <w:pPr>
              <w:pStyle w:val="Compact"/>
              <w:jc w:val="left"/>
            </w:pPr>
            <w:r>
              <w:t xml:space="preserve">secondary — SEP §§4.1–4.2; DLA 3, DV 12</w:t>
            </w:r>
          </w:p>
        </w:tc>
        <w:tc>
          <w:tcPr/>
          <w:p>
            <w:pPr>
              <w:pStyle w:val="Compact"/>
              <w:jc w:val="left"/>
            </w:pPr>
            <w:r>
              <w:t xml:space="preserve">Publisher entry, substantive revision 16 July 2023; inspected. Anselm’s moral freedom account, with exact primary references.</w:t>
            </w:r>
          </w:p>
        </w:tc>
        <w:tc>
          <w:tcPr/>
          <w:p>
            <w:pPr>
              <w:pStyle w:val="Compact"/>
              <w:jc w:val="left"/>
            </w:pPr>
            <w:r>
              <w:t xml:space="preserve">Separates rational excellence from a lottery. Direct DLA/DV edition collation remains an additional source task.</w:t>
            </w:r>
          </w:p>
        </w:tc>
      </w:tr>
      <w:tr>
        <w:tc>
          <w:tcPr/>
          <w:p>
            <w:pPr>
              <w:pStyle w:val="Compact"/>
              <w:jc w:val="left"/>
            </w:pPr>
            <w:hyperlink r:id="rId92">
              <w:r>
                <w:rPr>
                  <w:rStyle w:val="Hyperlink"/>
                </w:rPr>
                <w:t xml:space="preserve">William F. Vallicella: Divine Simplicity</w:t>
              </w:r>
            </w:hyperlink>
          </w:p>
        </w:tc>
        <w:tc>
          <w:tcPr/>
          <w:p>
            <w:pPr>
              <w:pStyle w:val="Compact"/>
              <w:jc w:val="left"/>
            </w:pPr>
            <w:r>
              <w:t xml:space="preserve">secondary — SEP §§6–7; truthmaker models and modal collapse</w:t>
            </w:r>
          </w:p>
        </w:tc>
        <w:tc>
          <w:tcPr/>
          <w:p>
            <w:pPr>
              <w:pStyle w:val="Compact"/>
              <w:jc w:val="left"/>
            </w:pPr>
            <w:r>
              <w:t xml:space="preserve">Current publisher text, copyright 2023; selected sections inspected. A substantive adversarial survey, including Brower/Grant disagreements.</w:t>
            </w:r>
          </w:p>
        </w:tc>
        <w:tc>
          <w:tcPr/>
          <w:p>
            <w:pPr>
              <w:pStyle w:val="Compact"/>
              <w:jc w:val="left"/>
            </w:pPr>
            <w:r>
              <w:t xml:space="preserve">The new exercise model is tested against these objections; no assertion that every critic or defender is refuted.</w:t>
            </w:r>
          </w:p>
        </w:tc>
      </w:tr>
      <w:tr>
        <w:tc>
          <w:tcPr/>
          <w:p>
            <w:pPr>
              <w:pStyle w:val="Compact"/>
              <w:jc w:val="left"/>
            </w:pPr>
            <w:hyperlink r:id="rId93">
              <w:r>
                <w:rPr>
                  <w:rStyle w:val="Hyperlink"/>
                </w:rPr>
                <w:t xml:space="preserve">Edward Wierenga: Omniscience</w:t>
              </w:r>
            </w:hyperlink>
          </w:p>
        </w:tc>
        <w:tc>
          <w:tcPr/>
          <w:p>
            <w:pPr>
              <w:pStyle w:val="Compact"/>
              <w:jc w:val="left"/>
            </w:pPr>
            <w:r>
              <w:t xml:space="preserve">secondary — SEP §§1–3</w:t>
            </w:r>
          </w:p>
        </w:tc>
        <w:tc>
          <w:tcPr/>
          <w:p>
            <w:pPr>
              <w:pStyle w:val="Compact"/>
              <w:jc w:val="left"/>
            </w:pPr>
            <w:r>
              <w:t xml:space="preserve">Publisher entry, substantive revision 10 May 2025; selected discussions inspected. Definitions and competing accounts of cognitive adequacy.</w:t>
            </w:r>
          </w:p>
        </w:tc>
        <w:tc>
          <w:tcPr/>
          <w:p>
            <w:pPr>
              <w:pStyle w:val="Compact"/>
              <w:jc w:val="left"/>
            </w:pPr>
            <w:r>
              <w:t xml:space="preserve">Prevents the scoped productive-knowledge proposal from being mislabeled demonstrated omniscience.</w:t>
            </w:r>
          </w:p>
        </w:tc>
      </w:tr>
      <w:tr>
        <w:tc>
          <w:tcPr/>
          <w:p>
            <w:pPr>
              <w:pStyle w:val="Compact"/>
              <w:jc w:val="left"/>
            </w:pPr>
            <w:hyperlink r:id="rId49">
              <w:r>
                <w:rPr>
                  <w:rStyle w:val="Hyperlink"/>
                </w:rPr>
                <w:t xml:space="preserve">Augustine: City of God</w:t>
              </w:r>
            </w:hyperlink>
          </w:p>
        </w:tc>
        <w:tc>
          <w:tcPr/>
          <w:p>
            <w:pPr>
              <w:pStyle w:val="Compact"/>
              <w:jc w:val="left"/>
            </w:pPr>
            <w:r>
              <w:t xml:space="preserve">primary — XI.10 and XI.21</w:t>
            </w:r>
          </w:p>
        </w:tc>
        <w:tc>
          <w:tcPr/>
          <w:p>
            <w:pPr>
              <w:pStyle w:val="Compact"/>
              <w:jc w:val="left"/>
            </w:pPr>
            <w:r>
              <w:t xml:space="preserve">Marcus Dods translation; consulted project primary witness, XI.21 rechecked for this inquiry. An explicit non-reception witness in Augustine’s theology.</w:t>
            </w:r>
          </w:p>
        </w:tc>
        <w:tc>
          <w:tcPr/>
          <w:p>
            <w:pPr>
              <w:pStyle w:val="Compact"/>
              <w:jc w:val="left"/>
            </w:pPr>
            <w:r>
              <w:t xml:space="preserve">Does not itself derive knowledge of the actual action from the minimal source profile.</w:t>
            </w:r>
          </w:p>
        </w:tc>
      </w:tr>
      <w:tr>
        <w:tc>
          <w:tcPr/>
          <w:p>
            <w:pPr>
              <w:pStyle w:val="Compact"/>
              <w:jc w:val="left"/>
            </w:pPr>
            <w:hyperlink r:id="rId94">
              <w:r>
                <w:rPr>
                  <w:rStyle w:val="Hyperlink"/>
                </w:rPr>
                <w:t xml:space="preserve">Dionysius / Maximus: digital Greek witnesses</w:t>
              </w:r>
            </w:hyperlink>
          </w:p>
        </w:tc>
        <w:tc>
          <w:tcPr/>
          <w:p>
            <w:pPr>
              <w:pStyle w:val="Compact"/>
              <w:jc w:val="left"/>
            </w:pPr>
            <w:r>
              <w:t xml:space="preserve">primary — DN II.5, V.8; Ambiguum 7, PG 91 1077–1081</w:t>
            </w:r>
          </w:p>
        </w:tc>
        <w:tc>
          <w:tcPr/>
          <w:p>
            <w:pPr>
              <w:pStyle w:val="Compact"/>
              <w:jc w:val="left"/>
            </w:pPr>
            <w:r>
              <w:t xml:space="preserve">Earlier project consultation: academic unproofread PG OCR and provisional Ambigua transcription. Bounded textual support with edition/provenance qualifications.</w:t>
            </w:r>
          </w:p>
        </w:tc>
        <w:tc>
          <w:tcPr/>
          <w:p>
            <w:pPr>
              <w:pStyle w:val="Compact"/>
              <w:jc w:val="left"/>
            </w:pPr>
            <w:r>
              <w:t xml:space="preserve">Constructive retrieval, not attribution of the proposed account of agency or new modal semantics.</w:t>
            </w:r>
          </w:p>
        </w:tc>
      </w:tr>
      <w:tr>
        <w:tc>
          <w:tcPr/>
          <w:p>
            <w:pPr>
              <w:pStyle w:val="Compact"/>
              <w:jc w:val="left"/>
            </w:pPr>
            <w:hyperlink r:id="rId52">
              <w:r>
                <w:rPr>
                  <w:rStyle w:val="Hyperlink"/>
                </w:rPr>
                <w:t xml:space="preserve">Newman: Essay on Development</w:t>
              </w:r>
            </w:hyperlink>
          </w:p>
        </w:tc>
        <w:tc>
          <w:tcPr/>
          <w:p>
            <w:pPr>
              <w:pStyle w:val="Compact"/>
              <w:jc w:val="left"/>
            </w:pPr>
            <w:r>
              <w:t xml:space="preserve">primary — Chapter V, opening §4 and §§I–VII</w:t>
            </w:r>
          </w:p>
        </w:tc>
        <w:tc>
          <w:tcPr/>
          <w:p>
            <w:pPr>
              <w:pStyle w:val="Compact"/>
              <w:jc w:val="left"/>
            </w:pPr>
            <w:r>
              <w:t xml:space="preserve">Gutenberg #35110 mirror; chapter V inspected in the project. An actual methodological source; seventh note is chronic vigour.</w:t>
            </w:r>
          </w:p>
        </w:tc>
        <w:tc>
          <w:tcPr/>
          <w:p>
            <w:pPr>
              <w:pStyle w:val="Compact"/>
              <w:jc w:val="left"/>
            </w:pPr>
            <w:r>
              <w:t xml:space="preserve">Analogical continuity assessment, not ecclesial recognition of this model.</w:t>
            </w:r>
          </w:p>
        </w:tc>
      </w:tr>
      <w:tr>
        <w:tc>
          <w:tcPr/>
          <w:p>
            <w:pPr>
              <w:pStyle w:val="Compact"/>
              <w:jc w:val="left"/>
            </w:pPr>
            <w:hyperlink r:id="rId95">
              <w:r>
                <w:rPr>
                  <w:rStyle w:val="Hyperlink"/>
                </w:rPr>
                <w:t xml:space="preserve">Critical primary texts and specialist monographs</w:t>
              </w:r>
            </w:hyperlink>
          </w:p>
        </w:tc>
        <w:tc>
          <w:tcPr/>
          <w:p>
            <w:pPr>
              <w:pStyle w:val="Compact"/>
              <w:jc w:val="left"/>
            </w:pPr>
            <w:r>
              <w:t xml:space="preserve">pending — Scotus Lectura I d.39; Anselm DLA/DV; Constas Ambigua; Grant 2012; Brower 2009; Przywara Analogia Entis</w:t>
            </w:r>
          </w:p>
        </w:tc>
        <w:tc>
          <w:tcPr/>
          <w:p>
            <w:pPr>
              <w:pStyle w:val="Compact"/>
              <w:jc w:val="left"/>
            </w:pPr>
            <w:r>
              <w:t xml:space="preserve">Precise leads and bibliographic limits in the detailed dossiers. No new primary or monograph consultation is claimed here.</w:t>
            </w:r>
          </w:p>
        </w:tc>
        <w:tc>
          <w:tcPr/>
          <w:p>
            <w:pPr>
              <w:pStyle w:val="Compact"/>
              <w:jc w:val="left"/>
            </w:pPr>
            <w:r>
              <w:t xml:space="preserve">These sources are not silently counted as evidence already read.</w:t>
            </w:r>
          </w:p>
        </w:tc>
      </w:tr>
    </w:tbl>
    <w:bookmarkEnd w:id="96"/>
    <w:bookmarkStart w:id="97" w:name="determinate-fullness.-gratuitous-action."/>
    <w:p>
      <w:pPr>
        <w:pStyle w:val="Heading2"/>
      </w:pPr>
      <w:r>
        <w:t xml:space="preserve">12 / Determinate fullness. Gratuitous action.</w:t>
      </w:r>
    </w:p>
    <w:p>
      <w:pPr>
        <w:pStyle w:val="FirstParagraph"/>
      </w:pPr>
      <w:r>
        <w:rPr>
          <w:b/>
          <w:bCs/>
        </w:rPr>
        <w:t xml:space="preserve">Status:</w:t>
      </w:r>
      <w:r>
        <w:t xml:space="preserve"> </w:t>
      </w:r>
      <w:r>
        <w:t xml:space="preserve">Scoped verdict.</w:t>
      </w:r>
    </w:p>
    <w:p>
      <w:pPr>
        <w:pStyle w:val="BodyText"/>
      </w:pPr>
      <w:r>
        <w:t xml:space="preserve">The constructive achievement is an explicit account of what simple, intelligent, free communication would require, with distinct warrants for its decisive passages.</w:t>
      </w:r>
    </w:p>
    <w:p>
      <w:pPr>
        <w:pStyle w:val="BodyText"/>
      </w:pPr>
      <w:r>
        <w:t xml:space="preserve">KD + U give noncomposition. The sixfold audit extends the classical inquiry to received actuality, unity, determination, existence, and essential perfection when the relevant dependence is independently defended. Perfection without reception adds the positive result: a warranted perfection belongs without a more basic intrinsic principle completing the source. It neither proves every perfection nor earns a seventh independent route.</w:t>
      </w:r>
    </w:p>
    <w:p>
      <w:pPr>
        <w:pStyle w:val="BodyText"/>
      </w:pPr>
      <w:r>
        <w:t xml:space="preserve">The gift model explains why communication can be good for a recipient without repairing the giver. Live alternatives establish modal openness; reasons render giving intelligible; actual control makes the gift the agent’s; efficacy makes its intended effect real. These are four contributions, not four descriptions of one unexplained output.</w:t>
      </w:r>
    </w:p>
    <w:p>
      <w:pPr>
        <w:pStyle w:val="BodyText"/>
      </w:pPr>
      <w:r>
        <w:t xml:space="preserve">The relational proposal asks whether different complete intentional actions can originate with the same intrinsic divine actuality. Its strongest surviving rival places the difference in noncomposite intrinsic intentions across possible worlds. X excludes that rival only if its own stronger account is defended; the absence of parts or temporal change does not decide the dispute.</w:t>
      </w:r>
    </w:p>
    <w:p>
      <w:pPr>
        <w:pStyle w:val="BodyText"/>
      </w:pPr>
      <w:r>
        <w:t xml:space="preserve">Productive knowledge then explains an adequately disclosed effect through warranted awareness of the actual intelligent action that produces it. Knowledge of possibilities and bare causal power would be insufficient. Secondary free acts and comprehensive omniscience require further cognitive arguments, even where Catholic theology independently receives the doctrinal claims.</w:t>
      </w:r>
    </w:p>
    <w:p>
      <w:pPr>
        <w:pStyle w:val="BodyText"/>
      </w:pPr>
      <w:r>
        <w:t xml:space="preserve">Explanation finally stops, in this proposal, at actual voluntary action and its warranted self-awareness. The action supplies authorship rather than a prior necessitating selector. That is the indispensable bridge to defend. The philosophical gain is a clear test: does it explain intelligent direction and successful production without requiring creation to constitute, inform, or complete God?</w:t>
      </w:r>
    </w:p>
    <w:bookmarkEnd w:id="97"/>
    <w:bookmarkStart w:id="101" w:name="formal-statement-and-stopping-point"/>
    <w:p>
      <w:pPr>
        <w:pStyle w:val="Heading2"/>
      </w:pPr>
      <w:r>
        <w:t xml:space="preserve">Formal statement and stopping point</w:t>
      </w:r>
    </w:p>
    <w:p>
      <w:pPr>
        <w:pStyle w:val="SourceCode"/>
      </w:pPr>
      <w:r>
        <w:rPr>
          <w:rStyle w:val="VerbatimChar"/>
        </w:rPr>
        <w:t xml:space="preserve">U(g) ∧ KD ⇒ ¬∃z K(z,g).</w:t>
      </w:r>
      <w:r>
        <w:br/>
      </w:r>
      <w:r>
        <w:rPr>
          <w:rStyle w:val="VerbatimChar"/>
        </w:rPr>
        <w:t xml:space="preserve">M ∧ I ∧ A ∧ T ⇒ the proposed controlled intentional action that brings about its intended effect.</w:t>
      </w:r>
      <w:r>
        <w:br/>
      </w:r>
      <w:r>
        <w:rPr>
          <w:rStyle w:val="VerbatimChar"/>
        </w:rPr>
        <w:t xml:space="preserve">R ∧ CT ∧ EP ⇒ warranted knowledge of what the action brings about, when the agent has adequate access.</w:t>
      </w:r>
      <w:r>
        <w:br/>
      </w:r>
      <w:r>
        <w:rPr>
          <w:rStyle w:val="VerbatimChar"/>
        </w:rPr>
        <w:t xml:space="preserve">X is additional to noncomposition, and M is additional to fullness.</w:t>
      </w:r>
      <w:r>
        <w:br/>
      </w:r>
      <w:r>
        <w:rPr>
          <w:rStyle w:val="VerbatimChar"/>
        </w:rPr>
        <w:t xml:space="preserve">Actual intentional action and adequate knowledge of it remain additional assumptions.</w:t>
      </w:r>
    </w:p>
    <w:p>
      <w:pPr>
        <w:pStyle w:val="FirstParagraph"/>
      </w:pPr>
      <w:r>
        <w:t xml:space="preserve">The sparse checker treats representation, control, intended/effective alignment, access, and knowledge separately. It does not generate knowledge merely by assigning matching access tokens. All results remain relative to the declared semantics. The stronger combined no-creation/X profile can supply another route to source noncomposition; the formal dossier explains why deleting KD does not automatically remove that conclusion in every retained theory.</w:t>
      </w:r>
    </w:p>
    <w:p>
      <w:pPr>
        <w:pStyle w:val="BodyText"/>
      </w:pPr>
      <w:r>
        <w:t xml:space="preserve">Read the</w:t>
      </w:r>
      <w:r>
        <w:t xml:space="preserve"> </w:t>
      </w:r>
      <w:hyperlink r:id="rId98">
        <w:r>
          <w:rPr>
            <w:rStyle w:val="Hyperlink"/>
          </w:rPr>
          <w:t xml:space="preserve">formal audit</w:t>
        </w:r>
      </w:hyperlink>
      <w:r>
        <w:t xml:space="preserve">,</w:t>
      </w:r>
      <w:r>
        <w:t xml:space="preserve"> </w:t>
      </w:r>
      <w:hyperlink r:id="rId99">
        <w:r>
          <w:rPr>
            <w:rStyle w:val="Hyperlink"/>
          </w:rPr>
          <w:t xml:space="preserve">source dossier</w:t>
        </w:r>
      </w:hyperlink>
      <w:r>
        <w:t xml:space="preserve">, and</w:t>
      </w:r>
      <w:r>
        <w:t xml:space="preserve"> </w:t>
      </w:r>
      <w:hyperlink r:id="rId100">
        <w:r>
          <w:rPr>
            <w:rStyle w:val="Hyperlink"/>
          </w:rPr>
          <w:t xml:space="preserve">Newman-style assessment</w:t>
        </w:r>
      </w:hyperlink>
      <w:r>
        <w:t xml:space="preserve">. The interactive page is at https://participation-6o4.pages.dev/beyond-participation/.</w:t>
      </w:r>
    </w:p>
    <w:bookmarkEnd w:id="101"/>
    <w:bookmarkStart w:id="115" w:name="questions-and-answers-1"/>
    <w:p>
      <w:pPr>
        <w:pStyle w:val="Heading2"/>
      </w:pPr>
      <w:r>
        <w:t xml:space="preserve">Questions and answers</w:t>
      </w:r>
    </w:p>
    <w:p>
      <w:pPr>
        <w:pStyle w:val="FirstParagraph"/>
      </w:pPr>
      <w:r>
        <w:t xml:space="preserve">What underivation establishes, what freedom requires, and what still needs an argument.</w:t>
      </w:r>
    </w:p>
    <w:bookmarkStart w:id="105" w:name="X5cf6334b3ce939cbfab1ad178142774ee506d70"/>
    <w:p>
      <w:pPr>
        <w:pStyle w:val="Heading3"/>
      </w:pPr>
      <w:r>
        <w:t xml:space="preserve">4. What follows from God’s being underived, and does that establish divine simplicity?</w:t>
      </w:r>
    </w:p>
    <w:p>
      <w:pPr>
        <w:pStyle w:val="FirstParagraph"/>
      </w:pPr>
      <w:r>
        <w:t xml:space="preserve">Absolute underivation excludes receiving the actuality of one’s being from anything more fundamental. With a further principle that proper intrinsic constituents ground the actuality of the whole they constitute, it excludes such constituents in God. Being merely efficiently uncaused would be weaker: an uncaused whole might still depend upon its constituting principles. The argument must address that deeper dependence.</w:t>
      </w:r>
    </w:p>
    <w:p>
      <w:pPr>
        <w:pStyle w:val="BodyText"/>
      </w:pPr>
      <w:r>
        <w:t xml:space="preserve">The broader simplicity inquiry tests distinct alleged conditions: an actualizer, a unifier, constituents, a constituting natural measure, received existence, and added essential perfection-realities. Each exclusion needs its own bridge; a real distinction is not automatically one of these conditions. Positive fullness also needs another step. First warrant a perfection such as understanding; then ask whether its possession could be received without contradicting underivation. Simplicity governs how a warranted perfection belongs to God. It cannot manufacture the perfection by subtracting parts.</w:t>
      </w:r>
    </w:p>
    <w:bookmarkStart w:id="104" w:name="Xbc81008fc7967905c42e03e1460c4ddc33a2f54"/>
    <w:p>
      <w:pPr>
        <w:pStyle w:val="Heading4"/>
      </w:pPr>
      <w:r>
        <w:t xml:space="preserve">The premises behind this answer: Constituents as grounds of a whole</w:t>
      </w:r>
    </w:p>
    <w:p>
      <w:pPr>
        <w:pStyle w:val="FirstParagraph"/>
      </w:pPr>
      <w:r>
        <w:t xml:space="preserve">Uses underivation U and the composition–dependence bridge KD. It does not add the stronger claim of identical intrinsic actuality across alternatives.</w:t>
      </w:r>
    </w:p>
    <w:p>
      <w:pPr>
        <w:pStyle w:val="BodyText"/>
      </w:pPr>
      <w:r>
        <w:t xml:space="preserve">Adopt these premises:</w:t>
      </w:r>
    </w:p>
    <w:p>
      <w:pPr>
        <w:pStyle w:val="Compact"/>
        <w:numPr>
          <w:ilvl w:val="0"/>
          <w:numId w:val="1005"/>
        </w:numPr>
      </w:pPr>
      <w:r>
        <w:t xml:space="preserve">Absolute underivation excludes constitutive as well as efficient dependence in the actuality by which the source exists.</w:t>
      </w:r>
    </w:p>
    <w:p>
      <w:pPr>
        <w:pStyle w:val="Compact"/>
        <w:numPr>
          <w:ilvl w:val="0"/>
          <w:numId w:val="1005"/>
        </w:numPr>
      </w:pPr>
      <w:r>
        <w:t xml:space="preserve">When intrinsic constituents make a whole the actual whole it is, its actuality is grounded in their contribution and unity.</w:t>
      </w:r>
    </w:p>
    <w:p>
      <w:pPr>
        <w:pStyle w:val="FirstParagraph"/>
      </w:pPr>
      <w:r>
        <w:t xml:space="preserve">Why adopt them?</w:t>
      </w:r>
    </w:p>
    <w:p>
      <w:pPr>
        <w:pStyle w:val="BodyText"/>
      </w:pPr>
      <w:r>
        <w:t xml:space="preserve">The constituents need not occur earlier in time. Their explanatory role is enough: the whole is what it is through them, even if they coexist necessarily with it. Calling the assembly uncaused does not remove that constitutive explanation. This follows the dependence argument explicit in Aquinas, Summa Theologiae I, question 3, article 7, while requiring constitution to be identified independently rather than defined as dependence.</w:t>
      </w:r>
    </w:p>
    <w:p>
      <w:pPr>
        <w:pStyle w:val="BodyText"/>
      </w:pPr>
      <w:r>
        <w:t xml:space="preserve">What follows if they hold?</w:t>
      </w:r>
    </w:p>
    <w:p>
      <w:pPr>
        <w:pStyle w:val="BodyText"/>
      </w:pPr>
      <w:r>
        <w:t xml:space="preserve">An absolutely underived source has no proper intrinsic constituents that constitute its being. Where positive perfection is independently established, underivation additionally excludes its possession through a more basic intrinsic actualizer. The negative exclusion and the positive attribution do different work.</w:t>
      </w:r>
    </w:p>
    <w:p>
      <w:pPr>
        <w:pStyle w:val="BodyText"/>
      </w:pPr>
      <w:r>
        <w:t xml:space="preserve">What remains to defend: A distinction is excluded only if it does the relevant constituting or actualizing work. Stronger attribute identity and intrinsic sameness across possibilities require further arguments.</w:t>
      </w:r>
    </w:p>
    <w:p>
      <w:pPr>
        <w:pStyle w:val="BodyText"/>
      </w:pPr>
      <w:hyperlink r:id="rId102">
        <w:r>
          <w:rPr>
            <w:rStyle w:val="Hyperlink"/>
          </w:rPr>
          <w:t xml:space="preserve">How far the simplicity argument reaches</w:t>
        </w:r>
      </w:hyperlink>
      <w:r>
        <w:t xml:space="preserve"> </w:t>
      </w:r>
      <w:r>
        <w:t xml:space="preserve">·</w:t>
      </w:r>
      <w:r>
        <w:t xml:space="preserve"> </w:t>
      </w:r>
      <w:hyperlink r:id="rId103">
        <w:r>
          <w:rPr>
            <w:rStyle w:val="Hyperlink"/>
          </w:rPr>
          <w:t xml:space="preserve">Distinct routes and additional premises</w:t>
        </w:r>
      </w:hyperlink>
    </w:p>
    <w:bookmarkEnd w:id="104"/>
    <w:bookmarkEnd w:id="105"/>
    <w:bookmarkStart w:id="109" w:name="Xc12e64c97a16978881d4743915c465699f05d81"/>
    <w:p>
      <w:pPr>
        <w:pStyle w:val="Heading3"/>
      </w:pPr>
      <w:r>
        <w:t xml:space="preserve">5. If God is complete and inexhaustible, why would creation be contingent rather than necessary?</w:t>
      </w:r>
    </w:p>
    <w:p>
      <w:pPr>
        <w:pStyle w:val="FirstParagraph"/>
      </w:pPr>
      <w:r>
        <w:t xml:space="preserve">Completeness and inexhaustibility alone do not establish contingency. A source could necessarily produce one finite world while remaining unlimited, undivided, and uncompleted by that world. The world’s failure to exhaust its source does not show that the world could have been absent. Likewise, production without need could still be necessary production.</w:t>
      </w:r>
    </w:p>
    <w:p>
      <w:pPr>
        <w:pStyle w:val="BodyText"/>
      </w:pPr>
      <w:r>
        <w:t xml:space="preserve">A further modal argument must warrant genuinely different possible created orders and, for the stronger claim, a genuine no-creation alternative. The proposal distinguishes those possibilities from the absence of just one particular creature. Aquinas’s account of optional expressions of complete goodness and Scotus’s treatment of contingency supply resources, rather than conclusions deduced from non-exhaustion. Christian teaching affirms free creation; this research asks what independently defensible metaphysical principles articulate that commitment. Even warranted alternatives would establish openness, not yet intelligent choice or freedom from every form of necessity.</w:t>
      </w:r>
    </w:p>
    <w:bookmarkStart w:id="108" w:name="X17db8639b5c81cced5c03265251c3fe62bf06be"/>
    <w:p>
      <w:pPr>
        <w:pStyle w:val="Heading4"/>
      </w:pPr>
      <w:r>
        <w:t xml:space="preserve">The premises behind this answer: Voluntary action and complete goodness</w:t>
      </w:r>
    </w:p>
    <w:p>
      <w:pPr>
        <w:pStyle w:val="FirstParagraph"/>
      </w:pPr>
      <w:r>
        <w:t xml:space="preserve">Adds rational agency, genuine modal alternatives, and voluntary action to divine completeness and non-exhaustion.</w:t>
      </w:r>
    </w:p>
    <w:p>
      <w:pPr>
        <w:pStyle w:val="BodyText"/>
      </w:pPr>
      <w:r>
        <w:t xml:space="preserve">Adopt these premises:</w:t>
      </w:r>
    </w:p>
    <w:p>
      <w:pPr>
        <w:pStyle w:val="Compact"/>
        <w:numPr>
          <w:ilvl w:val="0"/>
          <w:numId w:val="1006"/>
        </w:numPr>
      </w:pPr>
      <w:r>
        <w:t xml:space="preserve">The source is a rational agent whose goodness is complete independently of every finite created expression.</w:t>
      </w:r>
    </w:p>
    <w:p>
      <w:pPr>
        <w:pStyle w:val="Compact"/>
        <w:numPr>
          <w:ilvl w:val="0"/>
          <w:numId w:val="1006"/>
        </w:numPr>
      </w:pPr>
      <w:r>
        <w:t xml:space="preserve">A rational agent’s necessary orientation to its complete good need not necessitate a particular expression that neither constitutes that good nor is required for it.</w:t>
      </w:r>
    </w:p>
    <w:p>
      <w:pPr>
        <w:pStyle w:val="Compact"/>
        <w:numPr>
          <w:ilvl w:val="0"/>
          <w:numId w:val="1006"/>
        </w:numPr>
      </w:pPr>
      <w:r>
        <w:t xml:space="preserve">Its active power genuinely extends to alternative fitting expressions and to refraining; these are metaphysical possibilities, rather than merely conceivable descriptions.</w:t>
      </w:r>
    </w:p>
    <w:p>
      <w:pPr>
        <w:pStyle w:val="Compact"/>
        <w:numPr>
          <w:ilvl w:val="0"/>
          <w:numId w:val="1006"/>
        </w:numPr>
      </w:pPr>
      <w:r>
        <w:t xml:space="preserve">The agent actually determines its voluntary action for understood reasons; alternatives are not settled by an independent random or necessitating process.</w:t>
      </w:r>
    </w:p>
    <w:p>
      <w:pPr>
        <w:pStyle w:val="FirstParagraph"/>
      </w:pPr>
      <w:r>
        <w:t xml:space="preserve">Why adopt them?</w:t>
      </w:r>
    </w:p>
    <w:p>
      <w:pPr>
        <w:pStyle w:val="BodyText"/>
      </w:pPr>
      <w:r>
        <w:t xml:space="preserve">Aquinas distinguishes willing the complete end from necessarily willing every finite thing ordered toward it in Summa Theologiae I, question 19, articles 2–3. This makes the alternative intelligible: communication can express goodness already possessed rather than actualize a deficient giver. The modal conclusion also needs voluntary power with genuine alternatives. The end/means argument alone does not exclude every independent necessity that a rival could posit. Fitting alternatives can answer reasons for generosity without a uniquely obligatory expression.</w:t>
      </w:r>
    </w:p>
    <w:p>
      <w:pPr>
        <w:pStyle w:val="BodyText"/>
      </w:pPr>
      <w:r>
        <w:t xml:space="preserve">Necessarily, if an infallibly efficacious intention toward this world is actually exercised, this world exists. It does not follow that the intention must be exercised. To force that conclusion, the rival needs a further premise making the complete world-specific intention necessary. The proposed account places the contingent difference in voluntary direction; defending that account remains part of the inquiry.</w:t>
      </w:r>
    </w:p>
    <w:p>
      <w:pPr>
        <w:pStyle w:val="BodyText"/>
      </w:pPr>
      <w:r>
        <w:t xml:space="preserve">What follows if they hold?</w:t>
      </w:r>
    </w:p>
    <w:p>
      <w:pPr>
        <w:pStyle w:val="BodyText"/>
      </w:pPr>
      <w:r>
        <w:t xml:space="preserve">Given those powers and alternatives, creation can be a voluntary expression of complete goodness, including a genuine possibility of no created expression.</w:t>
      </w:r>
    </w:p>
    <w:p>
      <w:pPr>
        <w:pStyle w:val="BodyText"/>
      </w:pPr>
      <w:r>
        <w:t xml:space="preserve">What remains to defend: Rational agency, multi-outcome creative power, and actual voluntary choice are additional commitments. None follows from non-exhaustion alone.</w:t>
      </w:r>
    </w:p>
    <w:p>
      <w:pPr>
        <w:pStyle w:val="BodyText"/>
      </w:pPr>
      <w:hyperlink r:id="rId106">
        <w:r>
          <w:rPr>
            <w:rStyle w:val="Hyperlink"/>
          </w:rPr>
          <w:t xml:space="preserve">The necessary-emanation countermodel</w:t>
        </w:r>
      </w:hyperlink>
      <w:r>
        <w:t xml:space="preserve"> </w:t>
      </w:r>
      <w:r>
        <w:t xml:space="preserve">·</w:t>
      </w:r>
      <w:r>
        <w:t xml:space="preserve"> </w:t>
      </w:r>
      <w:hyperlink r:id="rId107">
        <w:r>
          <w:rPr>
            <w:rStyle w:val="Hyperlink"/>
          </w:rPr>
          <w:t xml:space="preserve">The earlier freedom test</w:t>
        </w:r>
      </w:hyperlink>
    </w:p>
    <w:bookmarkEnd w:id="108"/>
    <w:bookmarkEnd w:id="109"/>
    <w:bookmarkStart w:id="114" w:name="X17035502c9d8ef15daeca7734b2630477ce5587"/>
    <w:p>
      <w:pPr>
        <w:pStyle w:val="Heading3"/>
      </w:pPr>
      <w:r>
        <w:t xml:space="preserve">6. What makes possible alternatives a free intelligent act rather than random branching?</w:t>
      </w:r>
    </w:p>
    <w:p>
      <w:pPr>
        <w:pStyle w:val="FirstParagraph"/>
      </w:pPr>
      <w:r>
        <w:t xml:space="preserve">A free intelligent action requires four contributions. Real alternatives establish what could occur. Reasons explain why an outcome is fitting. Actual voluntary direction makes this outcome the agent’s doing. Efficacy explains why the intended result occurs. Mere branching establishes none of the last three. An intention can fail; an outcome can occur accidentally; an agent can understand alternatives without acting. Keeping these contributions distinct makes the positive account of agency assessable.</w:t>
      </w:r>
    </w:p>
    <w:p>
      <w:pPr>
        <w:pStyle w:val="BodyText"/>
      </w:pPr>
      <w:r>
        <w:t xml:space="preserve">A reason can make several actions intelligible without necessitating one uniquely. This allows rational action without reducing choice to either compulsion or a lottery. But invoking reasons and control does not yet demonstrate that an underived source has them, or settle every objection concerning explanation of the particular choice. Intelligent agency is an additional commitment requiring defense. The next question is harder still: what makes this actual intention distinct from another while preserving the proposed divine simplicity?</w:t>
      </w:r>
    </w:p>
    <w:bookmarkStart w:id="113" w:name="X89df5966716cfc89d5eaa4af7f21819647d3752"/>
    <w:p>
      <w:pPr>
        <w:pStyle w:val="Heading4"/>
      </w:pPr>
      <w:r>
        <w:t xml:space="preserve">The premises behind this answer: Reason-guided control of actual action</w:t>
      </w:r>
    </w:p>
    <w:p>
      <w:pPr>
        <w:pStyle w:val="FirstParagraph"/>
      </w:pPr>
      <w:r>
        <w:t xml:space="preserve">Adds understanding, actual control, and successful intentional production to the modal alternatives.</w:t>
      </w:r>
    </w:p>
    <w:p>
      <w:pPr>
        <w:pStyle w:val="BodyText"/>
      </w:pPr>
      <w:r>
        <w:t xml:space="preserve">Adopt these premises:</w:t>
      </w:r>
    </w:p>
    <w:p>
      <w:pPr>
        <w:pStyle w:val="Compact"/>
        <w:numPr>
          <w:ilvl w:val="0"/>
          <w:numId w:val="1007"/>
        </w:numPr>
      </w:pPr>
      <w:r>
        <w:t xml:space="preserve">The agent understands live possibilities and reasons making an intended end fitting.</w:t>
      </w:r>
    </w:p>
    <w:p>
      <w:pPr>
        <w:pStyle w:val="Compact"/>
        <w:numPr>
          <w:ilvl w:val="0"/>
          <w:numId w:val="1007"/>
        </w:numPr>
      </w:pPr>
      <w:r>
        <w:t xml:space="preserve">The agent actually controls its choice and action; a necessitating mechanism or accidental branching does not settle the outcome in its place.</w:t>
      </w:r>
    </w:p>
    <w:p>
      <w:pPr>
        <w:pStyle w:val="Compact"/>
        <w:numPr>
          <w:ilvl w:val="0"/>
          <w:numId w:val="1007"/>
        </w:numPr>
      </w:pPr>
      <w:r>
        <w:t xml:space="preserve">The action effectively produces its intended result.</w:t>
      </w:r>
    </w:p>
    <w:p>
      <w:pPr>
        <w:pStyle w:val="FirstParagraph"/>
      </w:pPr>
      <w:r>
        <w:t xml:space="preserve">Why adopt them?</w:t>
      </w:r>
    </w:p>
    <w:p>
      <w:pPr>
        <w:pStyle w:val="BodyText"/>
      </w:pPr>
      <w:r>
        <w:t xml:space="preserve">Understanding explains what the action is for; control explains why it is the agent’s doing; efficacy explains why the intended outcome occurs. These contributions cannot replace one another. Several actions may answer the same reason, so a reason can justify a choice without uniquely necessitating it. The account accepts actual voluntary agency as an explanatory starting point, rather than inventing a prior choosing act that would repeat the question indefinitely.</w:t>
      </w:r>
    </w:p>
    <w:p>
      <w:pPr>
        <w:pStyle w:val="BodyText"/>
      </w:pPr>
      <w:r>
        <w:t xml:space="preserve">What follows if they hold?</w:t>
      </w:r>
    </w:p>
    <w:p>
      <w:pPr>
        <w:pStyle w:val="BodyText"/>
      </w:pPr>
      <w:r>
        <w:t xml:space="preserve">An outcome can be intelligently authored rather than merely possible or accidental. Its explanation includes reasons and the agent’s actual control, even when those reasons do not necessitate that single outcome.</w:t>
      </w:r>
    </w:p>
    <w:p>
      <w:pPr>
        <w:pStyle w:val="BodyText"/>
      </w:pPr>
      <w:r>
        <w:t xml:space="preserve">What remains to defend: This is a positive account of irreducible voluntary agency. Its application to God, and its compatibility with stronger divine simplicity, require independent defense.</w:t>
      </w:r>
    </w:p>
    <w:p>
      <w:pPr>
        <w:pStyle w:val="BodyText"/>
      </w:pPr>
      <w:hyperlink r:id="rId110">
        <w:r>
          <w:rPr>
            <w:rStyle w:val="Hyperlink"/>
          </w:rPr>
          <w:t xml:space="preserve">Why branching is not authorship</w:t>
        </w:r>
      </w:hyperlink>
      <w:r>
        <w:t xml:space="preserve"> </w:t>
      </w:r>
      <w:r>
        <w:t xml:space="preserve">·</w:t>
      </w:r>
      <w:r>
        <w:t xml:space="preserve"> </w:t>
      </w:r>
      <w:hyperlink r:id="rId111">
        <w:r>
          <w:rPr>
            <w:rStyle w:val="Hyperlink"/>
          </w:rPr>
          <w:t xml:space="preserve">The problem of determinate intention</w:t>
        </w:r>
      </w:hyperlink>
      <w:r>
        <w:t xml:space="preserve"> </w:t>
      </w:r>
      <w:r>
        <w:t xml:space="preserve">·</w:t>
      </w:r>
      <w:r>
        <w:t xml:space="preserve"> </w:t>
      </w:r>
      <w:hyperlink r:id="rId112">
        <w:r>
          <w:rPr>
            <w:rStyle w:val="Hyperlink"/>
          </w:rPr>
          <w:t xml:space="preserve">Divine agency and actual action</w:t>
        </w:r>
      </w:hyperlink>
    </w:p>
    <w:p>
      <w:r>
        <w:pict>
          <v:rect style="width:0;height:1.5pt" o:hralign="center" o:hrstd="t" o:hr="t"/>
        </w:pict>
      </w:r>
    </w:p>
    <w:bookmarkEnd w:id="113"/>
    <w:bookmarkEnd w:id="114"/>
    <w:bookmarkEnd w:id="115"/>
    <w:bookmarkEnd w:id="116"/>
    <w:bookmarkStart w:id="159" w:name="X8d53801ff91e3031c70c2f140fd0c53862b0ae0"/>
    <w:p>
      <w:pPr>
        <w:pStyle w:val="Heading1"/>
      </w:pPr>
      <w:r>
        <w:t xml:space="preserve">Divine Agency: Simplicity and Free Creation</w:t>
      </w:r>
    </w:p>
    <w:p>
      <w:pPr>
        <w:pStyle w:val="FirstParagraph"/>
      </w:pPr>
      <w:r>
        <w:t xml:space="preserve">Part III of the Participation research atlas.</w:t>
      </w:r>
    </w:p>
    <w:p>
      <w:pPr>
        <w:pStyle w:val="BodyText"/>
      </w:pPr>
      <w:r>
        <w:t xml:space="preserve">Live page: https://participation-6o4.pages.dev/real-difference/</w:t>
      </w:r>
    </w:p>
    <w:p>
      <w:pPr>
        <w:pStyle w:val="BodyText"/>
      </w:pPr>
      <w:r>
        <w:t xml:space="preserve">Constructive proposal, not a source-existence proof or a definition of doctrine.</w:t>
      </w:r>
    </w:p>
    <w:bookmarkStart w:id="119" w:name="divine-action-and-real-difference"/>
    <w:p>
      <w:pPr>
        <w:pStyle w:val="Heading2"/>
      </w:pPr>
      <w:r>
        <w:t xml:space="preserve">00. Divine action and real difference</w:t>
      </w:r>
    </w:p>
    <w:p>
      <w:pPr>
        <w:pStyle w:val="FirstParagraph"/>
      </w:pPr>
      <w:r>
        <w:t xml:space="preserve">CONSTRUCTIVE CONTINUATION</w:t>
      </w:r>
    </w:p>
    <w:p>
      <w:pPr>
        <w:pStyle w:val="BodyText"/>
      </w:pPr>
      <w:r>
        <w:t xml:space="preserve">How can created outcomes and divine intentions differ without making God dependent on creation?</w:t>
      </w:r>
    </w:p>
    <w:p>
      <w:pPr>
        <w:pStyle w:val="BodyText"/>
      </w:pPr>
      <w:hyperlink r:id="rId117">
        <w:r>
          <w:rPr>
            <w:rStyle w:val="Hyperlink"/>
          </w:rPr>
          <w:t xml:space="preserve">Part I</w:t>
        </w:r>
      </w:hyperlink>
      <w:r>
        <w:t xml:space="preserve"> </w:t>
      </w:r>
      <w:r>
        <w:t xml:space="preserve">developed a conditional grammar of participation: finite creatures can depend upon and manifest an underived source without partitioning, exhausting, or completing it.</w:t>
      </w:r>
      <w:r>
        <w:t xml:space="preserve"> </w:t>
      </w:r>
      <w:hyperlink r:id="rId118">
        <w:r>
          <w:rPr>
            <w:rStyle w:val="Hyperlink"/>
          </w:rPr>
          <w:t xml:space="preserve">Part II</w:t>
        </w:r>
      </w:hyperlink>
      <w:r>
        <w:t xml:space="preserve"> </w:t>
      </w:r>
      <w:r>
        <w:t xml:space="preserve">separated the further arguments needed for simplicity, genuine alternatives, intelligent agency, and knowledge. Inexhaustibility alone establishes none of those stronger claims.</w:t>
      </w:r>
    </w:p>
    <w:p>
      <w:pPr>
        <w:pStyle w:val="BodyText"/>
      </w:pPr>
      <w:r>
        <w:t xml:space="preserve">This page asks how creation can be an actual, intentional action of God: not merely something that happens while God possesses the power to cause it. Its central distinction is simple: being determinate is not the same as being made determinate by something else. An underived source need not be featureless. But calling its action determinate does not yet explain why it is this action rather than another.</w:t>
      </w:r>
    </w:p>
    <w:p>
      <w:pPr>
        <w:pStyle w:val="BodyText"/>
      </w:pPr>
      <w:r>
        <w:t xml:space="preserve">How can God freely and knowingly create this world rather than another while God’s intrinsic actuality, his own being, remains the same across those alternatives?</w:t>
      </w:r>
    </w:p>
    <w:p>
      <w:pPr>
        <w:pStyle w:val="BodyText"/>
      </w:pPr>
      <w:r>
        <w:t xml:space="preserve">We distinguish what realizes a difference, what explains it, what could have differed, how it becomes known, and what good it fulfills. Participation connects those questions through real received possession; it does not answer all of them by itself. The underived source and its intrinsic invariance remain independently argued commitments. The answer developed here is a constructive proposal, not a seventh proof of simplicity or a deduction of Christianity.</w:t>
      </w:r>
    </w:p>
    <w:bookmarkEnd w:id="119"/>
    <w:bookmarkStart w:id="120" w:name="what-differs-and-what-explains-it"/>
    <w:p>
      <w:pPr>
        <w:pStyle w:val="Heading2"/>
      </w:pPr>
      <w:r>
        <w:t xml:space="preserve">01. What differs, and what explains it?</w:t>
      </w:r>
    </w:p>
    <w:p>
      <w:pPr>
        <w:pStyle w:val="FirstParagraph"/>
      </w:pPr>
      <w:r>
        <w:t xml:space="preserve">A METHOD FOR TESTING EXPLANATIONS</w:t>
      </w:r>
    </w:p>
    <w:p>
      <w:pPr>
        <w:pStyle w:val="BodyText"/>
      </w:pPr>
      <w:r>
        <w:t xml:space="preserve">A difference in meaning, an intrinsic constituent, and a real relation require different explanations.</w:t>
      </w:r>
    </w:p>
    <w:p>
      <w:pPr>
        <w:pStyle w:val="BodyText"/>
      </w:pPr>
      <w:r>
        <w:t xml:space="preserve">Ask four questions: What differs? Whose feature or relationship is it? What explains it? How could it be known? A wax impression has a shape. A giver has an intention. A gift enters a relationship. A reader understands a sign. Explaining one fact does not automatically explain the others.</w:t>
      </w:r>
    </w:p>
    <w:p>
      <w:pPr>
        <w:pStyle w:val="BodyText"/>
      </w:pPr>
      <w:r>
        <w:t xml:space="preserve">Different predicates need not require different concrete realizers. Wisdom and power differ in meaning; it does not follow merely from that difference that they are realized by distinct parts in God. This blocks an invalid inference, rather than proving that one actuality does realize every divine perfection. That positive claim needs an account of the perfections and their compatible realization.</w:t>
      </w:r>
    </w:p>
    <w:p>
      <w:pPr>
        <w:pStyle w:val="BodyText"/>
      </w:pPr>
      <w:r>
        <w:t xml:space="preserve">A real relation is likewise more than a convenient description. A gift’s direction toward this recipient can belong to the full action without the recipient supplying the giver with its power. But it remains necessary to distinguish the action’s identity, its explanation, and the agent’s control. A difference in recipients alone cannot explain different intentions.</w:t>
      </w:r>
    </w:p>
    <w:p>
      <w:pPr>
        <w:pStyle w:val="BodyText"/>
      </w:pPr>
      <w:r>
        <w:t xml:space="preserve">Intrinsic concerns something’s own being; relational concerns it in relation to another. A primitive intrinsic difference, if coherent, need not automatically be a proper part. A relational difference need not automatically be intentional. The method therefore classifies differences before drawing conclusions from them; it does not make either category harmless by definition.</w:t>
      </w:r>
    </w:p>
    <w:bookmarkEnd w:id="120"/>
    <w:bookmarkStart w:id="122" w:name="change-the-facts-not-just-the-labels"/>
    <w:p>
      <w:pPr>
        <w:pStyle w:val="Heading2"/>
      </w:pPr>
      <w:r>
        <w:t xml:space="preserve">02. Change the facts, not just the labels</w:t>
      </w:r>
    </w:p>
    <w:p>
      <w:pPr>
        <w:pStyle w:val="FirstParagraph"/>
      </w:pPr>
      <w:r>
        <w:t xml:space="preserve">EXAMPLE INSPECTOR · NOT A PROOF</w:t>
      </w:r>
    </w:p>
    <w:p>
      <w:pPr>
        <w:pStyle w:val="BodyText"/>
      </w:pPr>
      <w:r>
        <w:t xml:space="preserve">Six comparisons expose what an explanation must supply.</w:t>
      </w:r>
    </w:p>
    <w:p>
      <w:pPr>
        <w:pStyle w:val="BodyText"/>
      </w:pPr>
      <w:r>
        <w:t xml:space="preserve">The finite cases establish distinctions, rather than proving that God remains unchanged. A lamp can keep the same radiant power while other properties change; a human’s intentions can differ intrinsically. The advanced case expressly assumes a disputed relational account of divine action and shows what remains to be defended.</w:t>
      </w:r>
    </w:p>
    <w:p>
      <w:pPr>
        <w:pStyle w:val="BodyText"/>
      </w:pPr>
      <w:r>
        <w:t xml:space="preserve">The six cases and their assigned facts are described in the</w:t>
      </w:r>
      <w:r>
        <w:t xml:space="preserve"> </w:t>
      </w:r>
      <w:hyperlink r:id="rId121">
        <w:r>
          <w:rPr>
            <w:rStyle w:val="Hyperlink"/>
          </w:rPr>
          <w:t xml:space="preserve">formal audit</w:t>
        </w:r>
      </w:hyperlink>
      <w:r>
        <w:t xml:space="preserve">. The rest of this article is readable without JavaScript.</w:t>
      </w:r>
    </w:p>
    <w:bookmarkEnd w:id="122"/>
    <w:bookmarkStart w:id="123" w:name="an-action-is-more-than-its-outcome"/>
    <w:p>
      <w:pPr>
        <w:pStyle w:val="Heading2"/>
      </w:pPr>
      <w:r>
        <w:t xml:space="preserve">03. An action is more than its outcome</w:t>
      </w:r>
    </w:p>
    <w:p>
      <w:pPr>
        <w:pStyle w:val="FirstParagraph"/>
      </w:pPr>
      <w:r>
        <w:t xml:space="preserve">COMPARATIVE ARGUMENT + CONDITIONAL PROPOSAL</w:t>
      </w:r>
    </w:p>
    <w:p>
      <w:pPr>
        <w:pStyle w:val="BodyText"/>
      </w:pPr>
      <w:r>
        <w:t xml:space="preserve">The same physical result can serve different intentions. Having a power does not mean using it.</w:t>
      </w:r>
    </w:p>
    <w:p>
      <w:pPr>
        <w:pStyle w:val="Compact"/>
        <w:numPr>
          <w:ilvl w:val="0"/>
          <w:numId w:val="1008"/>
        </w:numPr>
      </w:pPr>
      <w:r>
        <w:t xml:space="preserve">A blanket can relieve cold through an intentional gift or an accidental arrival. Benefit alone does not establish that someone intended it.</w:t>
      </w:r>
    </w:p>
    <w:p>
      <w:pPr>
        <w:pStyle w:val="Compact"/>
        <w:numPr>
          <w:ilvl w:val="0"/>
          <w:numId w:val="1008"/>
        </w:numPr>
      </w:pPr>
      <w:r>
        <w:t xml:space="preserve">Two gifts with the same physical result can differ: one relieves cold; another also acknowledges dignity. The outcome does not tell us the whole intention.</w:t>
      </w:r>
    </w:p>
    <w:p>
      <w:pPr>
        <w:pStyle w:val="Compact"/>
        <w:numPr>
          <w:ilvl w:val="0"/>
          <w:numId w:val="1008"/>
        </w:numPr>
      </w:pPr>
      <w:r>
        <w:t xml:space="preserve">A person can possess a capacity without using it. Deliberately refraining requires capacity, control, and purpose; an absent effect establishes none of these.</w:t>
      </w:r>
    </w:p>
    <w:p>
      <w:pPr>
        <w:pStyle w:val="Compact"/>
        <w:numPr>
          <w:ilvl w:val="0"/>
          <w:numId w:val="1008"/>
        </w:numPr>
      </w:pPr>
      <w:r>
        <w:t xml:space="preserve">A benefit can be real before recognition. Conversely, a true belief can be a lucky guess. Receiving something and knowing it have different conditions.</w:t>
      </w:r>
    </w:p>
    <w:p>
      <w:pPr>
        <w:pStyle w:val="FirstParagraph"/>
      </w:pPr>
      <w:r>
        <w:t xml:space="preserve">An adequate account preserves what is produced, what the agent intends and does, what the recipient receives, and how someone knows it. The examples expose these different explanatory jobs. They do not show that a finite agent’s changing psychology can be transferred to God.</w:t>
      </w:r>
    </w:p>
    <w:p>
      <w:pPr>
        <w:pStyle w:val="BodyText"/>
      </w:pPr>
      <w:r>
        <w:t xml:space="preserve">The philosophical opening is a distinction between the agent’s intrinsic power and the complete intentional action. If an action’s direction is genuinely originated and controlled by the agent, a difference in that direction need not be an actuality supplied by its effect. The action can explain the effect while the effect helps specify which complete action occurred. Specification and productive causation run in different directions.</w:t>
      </w:r>
    </w:p>
    <w:p>
      <w:pPr>
        <w:pStyle w:val="BodyText"/>
      </w:pPr>
      <w:r>
        <w:t xml:space="preserve">This establishes a candidate structure, not its divine realization. The remaining bridge is substantial: an intelligent source must be able to originate and know such a determinate direction without acquiring a new intrinsic state. The strongest rival grants libertarian agency but locates alternative choices in different intrinsic states, even while denying that those states are proper parts.</w:t>
      </w:r>
    </w:p>
    <w:bookmarkEnd w:id="123"/>
    <w:bookmarkStart w:id="124" w:name="a-power-is-not-yet-a-particular-action"/>
    <w:p>
      <w:pPr>
        <w:pStyle w:val="Heading2"/>
      </w:pPr>
      <w:r>
        <w:t xml:space="preserve">04. A power is not yet a particular action</w:t>
      </w:r>
    </w:p>
    <w:p>
      <w:pPr>
        <w:pStyle w:val="FirstParagraph"/>
      </w:pPr>
      <w:r>
        <w:t xml:space="preserve">DISPUTED CONSTRUCTIVE PROPOSAL</w:t>
      </w:r>
    </w:p>
    <w:p>
      <w:pPr>
        <w:pStyle w:val="BodyText"/>
      </w:pPr>
      <w:r>
        <w:t xml:space="preserve">A complete account must explain alternatives, reasons, choice, and successful production.</w:t>
      </w:r>
    </w:p>
    <w:p>
      <w:pPr>
        <w:pStyle w:val="BodyText"/>
      </w:pPr>
      <w:r>
        <w:t xml:space="preserve">Four steps must remain distinct. Possibility identifies real alternatives; reasons make an alternative intelligible or good; choice explains the agent’s actual direction toward it; efficacy explains its realization. An indeterminate process can branch without choosing. A rational plan can remain unexecuted. Divine agency requires intelligent authorship as well as power.</w:t>
      </w:r>
    </w:p>
    <w:p>
      <w:pPr>
        <w:pStyle w:val="BodyText"/>
      </w:pPr>
      <w:r>
        <w:t xml:space="preserve">The proposed bridge is that a complete intentional action need not be fixed by the agent’s intrinsic state alone, provided its direction is a real relation originated and controlled by that agent. God’s being would remain intrinsically complete, while the full fact that God freely creates this world would include a contingent direction toward this creation. This commits the account to a real intentional explanation; it cannot be satisfied by assigning different world labels to an invariant power.</w:t>
      </w:r>
    </w:p>
    <w:p>
      <w:pPr>
        <w:pStyle w:val="BodyText"/>
      </w:pPr>
      <w:r>
        <w:t xml:space="preserve">The motivation is that the complete identity of an action includes its intentional object and explanatory direction, not only a description of the agent in isolation. Requiring every such difference to be realized by a different intrinsic state is a substantive theory of intention, not a truth contained in the word</w:t>
      </w:r>
      <w:r>
        <w:t xml:space="preserve"> </w:t>
      </w:r>
      <w:r>
        <w:t xml:space="preserve">“</w:t>
      </w:r>
      <w:r>
        <w:t xml:space="preserve">action.</w:t>
      </w:r>
      <w:r>
        <w:t xml:space="preserve">”</w:t>
      </w:r>
      <w:r>
        <w:t xml:space="preserve"> </w:t>
      </w:r>
      <w:r>
        <w:t xml:space="preserve">Finite examples establish that explanatory and identifying relations can differ; they do not establish that divine intention is relational throughout.</w:t>
      </w:r>
    </w:p>
    <w:p>
      <w:pPr>
        <w:pStyle w:val="BodyText"/>
      </w:pPr>
      <w:r>
        <w:t xml:space="preserve">Reasons can explain a choice without uniquely necessitating it. The recipient’s possible good supplies a reason for generosity without supplying a need in God. The agent, rather than a prior selector or an impersonal lottery, originates the action for that reason. Whether this form of rational explanation is sufficient, and whether its intentional direction can remain relational throughout, are the two principal disputes.</w:t>
      </w:r>
    </w:p>
    <w:p>
      <w:pPr>
        <w:pStyle w:val="BodyText"/>
      </w:pPr>
      <w:r>
        <w:t xml:space="preserve">Modal collapse follows if God’s necessary intrinsic actuality necessarily entails this complete efficacious intention. The proposal denies that further entailment. Necessarily, if God efficaciously intends this creation, it exists; it does not follow that God necessarily so intends. Denying the entailment blocks one inference to collapse. The positive agency bridge must still explain how the contingent intention belongs to God’s control.</w:t>
      </w:r>
    </w:p>
    <w:p>
      <w:pPr>
        <w:pStyle w:val="BodyText"/>
      </w:pPr>
      <w:r>
        <w:t xml:space="preserve">Including an effect in the full description of an action does not make it the cause of the intention. Conversely, saying only</w:t>
      </w:r>
      <w:r>
        <w:t xml:space="preserve"> </w:t>
      </w:r>
      <w:r>
        <w:t xml:space="preserve">“</w:t>
      </w:r>
      <w:r>
        <w:t xml:space="preserve">God is Creator because a world exists</w:t>
      </w:r>
      <w:r>
        <w:t xml:space="preserve">”</w:t>
      </w:r>
      <w:r>
        <w:t xml:space="preserve"> </w:t>
      </w:r>
      <w:r>
        <w:t xml:space="preserve">offers an outcome-dependent title without an account of choice. These two errors delimit the proposal.</w:t>
      </w:r>
    </w:p>
    <w:p>
      <w:pPr>
        <w:pStyle w:val="BodyText"/>
      </w:pPr>
      <w:r>
        <w:t xml:space="preserve">The notation makes no extra promiseS(g,e,p) abbreviates: agent g actually performs and controls action e, intending p. T(e,x) says the action effectively produces x as intended. S records agency; it does not derive intelligence or freedom from existence. T records success; intention alone does not produce an outcome. Neither symbol explains the metaphysical possibility of the proposed intentional relation.</w:t>
      </w:r>
    </w:p>
    <w:p>
      <w:pPr>
        <w:pStyle w:val="BodyText"/>
      </w:pPr>
      <w:r>
        <w:t xml:space="preserve">The no-creation alternativeNo creation means no created actuality, rather than</w:t>
      </w:r>
      <w:r>
        <w:t xml:space="preserve"> </w:t>
      </w:r>
      <w:r>
        <w:t xml:space="preserve">“</w:t>
      </w:r>
      <w:r>
        <w:t xml:space="preserve">nothing</w:t>
      </w:r>
      <w:r>
        <w:t xml:space="preserve">”</w:t>
      </w:r>
      <w:r>
        <w:t xml:space="preserve"> </w:t>
      </w:r>
      <w:r>
        <w:t xml:space="preserve">as an object God makes. Deliberate refraining must be possible if creation is gratuitous; non-exhaustion alone does not establish that possibility. It also does not erase the eternal personal life of Father, Son, and Spirit. Their relations are not contingent exercises of creative power.</w:t>
      </w:r>
    </w:p>
    <w:bookmarkEnd w:id="124"/>
    <w:bookmarkStart w:id="125" w:name="Xc2335a62c78f32a0be4bc81d2d466ab3219120d"/>
    <w:p>
      <w:pPr>
        <w:pStyle w:val="Heading2"/>
      </w:pPr>
      <w:r>
        <w:t xml:space="preserve">05. Knowing the actual without learning from it</w:t>
      </w:r>
    </w:p>
    <w:p>
      <w:pPr>
        <w:pStyle w:val="FirstParagraph"/>
      </w:pPr>
      <w:r>
        <w:t xml:space="preserve">PRODUCTIVE KNOWLEDGE + A FURTHER COGNITIVE BRIDGE</w:t>
      </w:r>
    </w:p>
    <w:p>
      <w:pPr>
        <w:pStyle w:val="BodyText"/>
      </w:pPr>
      <w:r>
        <w:t xml:space="preserve">A truth’s dependence on an event is not automatically the knower’s acquisition of a cognitive state.</w:t>
      </w:r>
    </w:p>
    <w:p>
      <w:pPr>
        <w:pStyle w:val="BodyText"/>
      </w:pPr>
      <w:r>
        <w:t xml:space="preserve">Distinguish a real received good, its meaningful expression, someone’s access to it, and warranted recognition. An unconscious patient can benefit from care; a meaningful sign can remain unread. A cause can sustain an event without thereby having cognitive acquaintance with it. Neither reception nor causal intimacy establishes knowledge by itself.</w:t>
      </w:r>
    </w:p>
    <w:p>
      <w:pPr>
        <w:pStyle w:val="BodyText"/>
      </w:pPr>
      <w:r>
        <w:t xml:space="preserve">For effects fully specified by God’s efficacious intention, the positive proposal is productive knowledge. An intelligent source knows what it does through awareness of its actual controlled action and what that action infallibly produces. It need not inspect the result in order to learn whether its intention succeeded. This requires actual intention, adequate self-awareness, and transparency of the action’s efficacy. Knowing every possible plan does not yet identify the actual plan.</w:t>
      </w:r>
    </w:p>
    <w:p>
      <w:pPr>
        <w:pStyle w:val="BodyText"/>
      </w:pPr>
      <w:r>
        <w:t xml:space="preserve">The claim that a particular contingent choice actually occurs is true only if that choice occurs. But truth conditions are not automatically cognitive actualizers: the fact that makes a statement true need not send information that completes God’s intellect. This distinguishes two explanatory arrows. It does not by itself show how an intrinsically invariant intellect knows different actual outcomes.</w:t>
      </w:r>
    </w:p>
    <w:p>
      <w:pPr>
        <w:pStyle w:val="BodyText"/>
      </w:pPr>
      <w:r>
        <w:t xml:space="preserve">Free secondary acts make the harder case. Sustaining a creature’s power is not the same as supplying its intention, and knowledge of God’s creative intention cannot simply stand in for knowledge of whatever the creature freely chooses. The proposed additional bridge is direct, non-receptive awareness of actual finite acts: the underived intellect knows their determinate actuality without acquiring representations caused by them. This is a positive cognitive commitment, not a consequence of merely renaming causal presence as awareness.</w:t>
      </w:r>
    </w:p>
    <w:p>
      <w:pPr>
        <w:pStyle w:val="BodyText"/>
      </w:pPr>
      <w:r>
        <w:t xml:space="preserve">The bridge must cover the actual content of choices, omissions, and relations, while preserving their creaturely authorship. Foreknowledge further requires an account of access to temporal actuality; factivity alone establishes no timeless standpoint. Comprehensive omniscience is received in Catholic theology. Its philosophical explanation remains conditional on these additional cognitive and temporal commitments.</w:t>
      </w:r>
    </w:p>
    <w:p>
      <w:pPr>
        <w:pStyle w:val="BodyText"/>
      </w:pPr>
      <w:r>
        <w:t xml:space="preserve">Knowing a wrongful intention is not intending its moral defect. An act’s positive actuality, the creature’s exercise, its disorder, God’s permission, and divine knowledge have different explanatory roles. A theory that treats them as one causation has lost the distinction it needed to preserve.</w:t>
      </w:r>
    </w:p>
    <w:bookmarkEnd w:id="125"/>
    <w:bookmarkStart w:id="134" w:name="X77040adeb479227154b7d40a08c5c90c19086d9"/>
    <w:p>
      <w:pPr>
        <w:pStyle w:val="Heading2"/>
      </w:pPr>
      <w:r>
        <w:t xml:space="preserve">06. Different thinkers answer different questions</w:t>
      </w:r>
    </w:p>
    <w:p>
      <w:pPr>
        <w:pStyle w:val="FirstParagraph"/>
      </w:pPr>
      <w:r>
        <w:t xml:space="preserve">CLAIM, INTERPRETATION, AND LIMIT KEPT DISTINCT</w:t>
      </w:r>
    </w:p>
    <w:p>
      <w:pPr>
        <w:pStyle w:val="BodyText"/>
      </w:pPr>
      <w:r>
        <w:t xml:space="preserve">These are resources and critical interlocutors, not co-authors of a modern system.</w:t>
      </w:r>
    </w:p>
    <w:p>
      <w:pPr>
        <w:pStyle w:val="BodyText"/>
      </w:pPr>
      <w:r>
        <w:t xml:space="preserve">Augustine’s divine ideas help explain creaturely intelligibility without external standards; Anselm helps distinguish rational freedom from indeterminacy; Scotus insists upon genuine contingency rather than the mere finitude of an effect. Przywara preserves likeness within greater unlikeness. Their contributions on the earlier pages continue to constrain this proposal.</w:t>
      </w:r>
    </w:p>
    <w:bookmarkStart w:id="126" w:name="bonaventure-fullness-not-featurelessness"/>
    <w:p>
      <w:pPr>
        <w:pStyle w:val="Heading3"/>
      </w:pPr>
      <w:r>
        <w:t xml:space="preserve">Bonaventure: Fullness, not featurelessness</w:t>
      </w:r>
    </w:p>
    <w:p>
      <w:pPr>
        <w:pStyle w:val="FirstParagraph"/>
      </w:pPr>
      <w:r>
        <w:t xml:space="preserve">Simplicity concerns the perfection by which the source is actual, not a poverty of intelligible content. A distinction by personal origin is not the same as a difference produced by adding a constituent. Finite proportion can also contribute positively to a creature’s beauty.</w:t>
      </w:r>
    </w:p>
    <w:p>
      <w:pPr>
        <w:pStyle w:val="BodyText"/>
      </w:pPr>
      <w:r>
        <w:t xml:space="preserve">“</w:t>
      </w:r>
      <w:r>
        <w:t xml:space="preserve">Where supreme simplicity is understood, supreme actuality must be understood.</w:t>
      </w:r>
      <w:r>
        <w:t xml:space="preserve">”</w:t>
      </w:r>
    </w:p>
    <w:p>
      <w:pPr>
        <w:pStyle w:val="BodyText"/>
      </w:pPr>
      <w:r>
        <w:t xml:space="preserve">I Sentences, q. 1, ad 1; inherited manuscript working translation.</w:t>
      </w:r>
    </w:p>
    <w:p>
      <w:pPr>
        <w:pStyle w:val="BodyText"/>
      </w:pPr>
      <w:r>
        <w:t xml:space="preserve">Locus: I Sentences d. 8, p. II, a. un., qq. 1–2; Itinerarium II.10</w:t>
      </w:r>
    </w:p>
    <w:p>
      <w:pPr>
        <w:pStyle w:val="BodyText"/>
      </w:pPr>
      <w:r>
        <w:t xml:space="preserve">Limit: The communication argument here concerns the Trinity. It does not necessitate creation or demonstrate the proposed account of free divine action.</w:t>
      </w:r>
    </w:p>
    <w:p>
      <w:pPr>
        <w:pStyle w:val="BodyText"/>
      </w:pPr>
      <w:r>
        <w:t xml:space="preserve">Source: https://plato.stanford.edu/entries/bonaventure/</w:t>
      </w:r>
    </w:p>
    <w:bookmarkEnd w:id="126"/>
    <w:bookmarkStart w:id="127" w:name="X2cd919366691b2fb6dae9d80d5ffdb1247db414"/>
    <w:p>
      <w:pPr>
        <w:pStyle w:val="Heading3"/>
      </w:pPr>
      <w:r>
        <w:t xml:space="preserve">Pseudo-Dionysius: Different impressions; one source</w:t>
      </w:r>
    </w:p>
    <w:p>
      <w:pPr>
        <w:pStyle w:val="FirstParagraph"/>
      </w:pPr>
      <w:r>
        <w:t xml:space="preserve">The seal comparison locates variation partly in recipients. Exemplars help explain intelligible differences; God’s knowledge through their cause addresses a further question. These are three explanations to distinguish, rather than interchangeable proofs.</w:t>
      </w:r>
    </w:p>
    <w:p>
      <w:pPr>
        <w:pStyle w:val="BodyText"/>
      </w:pPr>
      <w:r>
        <w:t xml:space="preserve">“</w:t>
      </w:r>
      <w:r>
        <w:t xml:space="preserve">the Mind of God gains not Its knowledge of things from those things</w:t>
      </w:r>
      <w:r>
        <w:t xml:space="preserve">”</w:t>
      </w:r>
    </w:p>
    <w:p>
      <w:pPr>
        <w:pStyle w:val="BodyText"/>
      </w:pPr>
      <w:r>
        <w:t xml:space="preserve">Divine Names VII.2, C. E. Rolt (1920), consulted at CCEL.</w:t>
      </w:r>
    </w:p>
    <w:p>
      <w:pPr>
        <w:pStyle w:val="BodyText"/>
      </w:pPr>
      <w:r>
        <w:t xml:space="preserve">Locus: Divine Names II.5; V.8; VII.2–3; IX.6–7</w:t>
      </w:r>
    </w:p>
    <w:p>
      <w:pPr>
        <w:pStyle w:val="BodyText"/>
      </w:pPr>
      <w:r>
        <w:t xml:space="preserve">Limit: A seal is patterned; the analogy does not establish divine simplicity. Causal knowledge does not alone settle counterfactual selection or all secondary free decisions.</w:t>
      </w:r>
    </w:p>
    <w:p>
      <w:pPr>
        <w:pStyle w:val="BodyText"/>
      </w:pPr>
      <w:r>
        <w:t xml:space="preserve">Source: https://ccel.org/ccel/rolt/dionysius/dionysius.iv.viii.html</w:t>
      </w:r>
    </w:p>
    <w:bookmarkEnd w:id="127"/>
    <w:bookmarkStart w:id="128" w:name="X8a50d7d604854669e82f4b1f4cc4e137db3e39c"/>
    <w:p>
      <w:pPr>
        <w:pStyle w:val="Heading3"/>
      </w:pPr>
      <w:r>
        <w:t xml:space="preserve">John Scotus Eriugena: The frontier of manifestation</w:t>
      </w:r>
    </w:p>
    <w:p>
      <w:pPr>
        <w:pStyle w:val="FirstParagraph"/>
      </w:pPr>
      <w:r>
        <w:t xml:space="preserve">Theophany—God’s manifestation—gives created expression genuine metaphysical importance. Yet the strong identity language and</w:t>
      </w:r>
      <w:r>
        <w:t xml:space="preserve"> </w:t>
      </w:r>
      <w:r>
        <w:t xml:space="preserve">“</w:t>
      </w:r>
      <w:r>
        <w:t xml:space="preserve">as it were</w:t>
      </w:r>
      <w:r>
        <w:t xml:space="preserve">”</w:t>
      </w:r>
      <w:r>
        <w:t xml:space="preserve"> </w:t>
      </w:r>
      <w:r>
        <w:t xml:space="preserve">divine self-creation make him a stress case: does expression disclose fullness, or supply God with a determination he lacked?</w:t>
      </w:r>
    </w:p>
    <w:p>
      <w:pPr>
        <w:pStyle w:val="BodyText"/>
      </w:pPr>
      <w:r>
        <w:t xml:space="preserve">Inherited Sheldon-Williams/O’Meara translation register; fresh specialist comparison with Dermot Moran’s SEP entry.</w:t>
      </w:r>
    </w:p>
    <w:p>
      <w:pPr>
        <w:pStyle w:val="BodyText"/>
      </w:pPr>
      <w:r>
        <w:t xml:space="preserve">Locus: Periphyseon I.446D; I.454B–C; II.589B; III.678C–D; III.689B</w:t>
      </w:r>
    </w:p>
    <w:p>
      <w:pPr>
        <w:pStyle w:val="BodyText"/>
      </w:pPr>
      <w:r>
        <w:t xml:space="preserve">Limit: The proposed use of this resource preserves real created disclosure while rejecting completion of God by the world. This selects and, where needed, corrects; it does not harmonize away his stronger claims.</w:t>
      </w:r>
    </w:p>
    <w:p>
      <w:pPr>
        <w:pStyle w:val="BodyText"/>
      </w:pPr>
      <w:r>
        <w:t xml:space="preserve">Source: https://plato.stanford.edu/entries/scottus-eriugena/</w:t>
      </w:r>
    </w:p>
    <w:bookmarkEnd w:id="128"/>
    <w:bookmarkStart w:id="129" w:name="X6699f37ee38881232a6e0c7ab6b8ccfa05c6ebc"/>
    <w:p>
      <w:pPr>
        <w:pStyle w:val="Heading3"/>
      </w:pPr>
      <w:r>
        <w:t xml:space="preserve">Maximus the Confessor: Intelligibility is not yet realization</w:t>
      </w:r>
    </w:p>
    <w:p>
      <w:pPr>
        <w:pStyle w:val="FirstParagraph"/>
      </w:pPr>
      <w:r>
        <w:t xml:space="preserve">One Logos and differentiated logoi—the intelligible principles of creatures—help explain an intelligible order without independent Forms. Creatures’ coming to exist in time must still be distinguished from their intelligible principles and God’s knowledge.</w:t>
      </w:r>
    </w:p>
    <w:p>
      <w:pPr>
        <w:pStyle w:val="BodyText"/>
      </w:pPr>
      <w:r>
        <w:t xml:space="preserve">Provisional Greek transcription reconsulted; collation with Nicholas Constas’s Ambigua (2014) remains outstanding.</w:t>
      </w:r>
    </w:p>
    <w:p>
      <w:pPr>
        <w:pStyle w:val="BodyText"/>
      </w:pPr>
      <w:r>
        <w:t xml:space="preserve">Locus: Ambiguum 7; PG 91, 1077–1081; 1085–1088</w:t>
      </w:r>
    </w:p>
    <w:p>
      <w:pPr>
        <w:pStyle w:val="BodyText"/>
      </w:pPr>
      <w:r>
        <w:t xml:space="preserve">Limit: No modern relational theory of free divine action is attributed to Maximus. Logoi do not, merely by being determinate, actualize a world.</w:t>
      </w:r>
    </w:p>
    <w:p>
      <w:pPr>
        <w:pStyle w:val="BodyText"/>
      </w:pPr>
      <w:r>
        <w:t xml:space="preserve">Source: https://raw.githubusercontent.com/robertvsiii/maximus-confessor/5ef8d8b33bb7e16576f4b5445db7ee07541aff9f/texts/maximus/maximus_confessor.ambigua_iohannem.tess</w:t>
      </w:r>
    </w:p>
    <w:bookmarkEnd w:id="129"/>
    <w:bookmarkStart w:id="130" w:name="X5e95d75dd7b2bde515faf7ce6d1cb0743f24965"/>
    <w:p>
      <w:pPr>
        <w:pStyle w:val="Heading3"/>
      </w:pPr>
      <w:r>
        <w:t xml:space="preserve">Gregory of Nyssa: An image’s mode is its own</w:t>
      </w:r>
    </w:p>
    <w:p>
      <w:pPr>
        <w:pStyle w:val="FirstParagraph"/>
      </w:pPr>
      <w:r>
        <w:t xml:space="preserve">Likeness in attributes does not erase the difference between created and uncreated nature. Received rational life includes voluntary virtue: dependence upon the ultimate source need not make created agency counterfeit.</w:t>
      </w:r>
    </w:p>
    <w:p>
      <w:pPr>
        <w:pStyle w:val="BodyText"/>
      </w:pPr>
      <w:r>
        <w:t xml:space="preserve">“</w:t>
      </w:r>
      <w:r>
        <w:t xml:space="preserve">virtue is a voluntary thing, subject to no dominion</w:t>
      </w:r>
      <w:r>
        <w:t xml:space="preserve">”</w:t>
      </w:r>
    </w:p>
    <w:p>
      <w:pPr>
        <w:pStyle w:val="BodyText"/>
      </w:pPr>
      <w:r>
        <w:t xml:space="preserve">Moore/Wilson, NPNF, second series V; primary translation reconsulted.</w:t>
      </w:r>
    </w:p>
    <w:p>
      <w:pPr>
        <w:pStyle w:val="BodyText"/>
      </w:pPr>
      <w:r>
        <w:t xml:space="preserve">Locus: On the Making of Man XVI</w:t>
      </w:r>
    </w:p>
    <w:p>
      <w:pPr>
        <w:pStyle w:val="BodyText"/>
      </w:pPr>
      <w:r>
        <w:t xml:space="preserve">Limit: This does not derive divine free agency or establish every claim about infinity and epektasis. The anthropology contains further speculative commitments.</w:t>
      </w:r>
    </w:p>
    <w:p>
      <w:pPr>
        <w:pStyle w:val="BodyText"/>
      </w:pPr>
      <w:r>
        <w:t xml:space="preserve">Source: https://raw.githubusercontent.com/standardebooks/gregory-of-nyssa_on-the-making-of-man_william-moore_henry-austin-wilson/master/src/epub/text/chapter-16.xhtml</w:t>
      </w:r>
    </w:p>
    <w:bookmarkEnd w:id="130"/>
    <w:bookmarkStart w:id="131" w:name="X79fdf6ce785fc9d1b69205fa0564ea63ac8674c"/>
    <w:p>
      <w:pPr>
        <w:pStyle w:val="Heading3"/>
      </w:pPr>
      <w:r>
        <w:t xml:space="preserve">Gregory Nazianzen: Do not force relation into the wrong category</w:t>
      </w:r>
    </w:p>
    <w:p>
      <w:pPr>
        <w:pStyle w:val="FirstParagraph"/>
      </w:pPr>
      <w:r>
        <w:t xml:space="preserve">“</w:t>
      </w:r>
      <w:r>
        <w:t xml:space="preserve">Father</w:t>
      </w:r>
      <w:r>
        <w:t xml:space="preserve">”</w:t>
      </w:r>
      <w:r>
        <w:t xml:space="preserve"> </w:t>
      </w:r>
      <w:r>
        <w:t xml:space="preserve">names neither a separate essence nor an action that produces a creature. Gregory’s category correction makes real personal distinction philosophically significant without treating persons as pieces of a divine whole.</w:t>
      </w:r>
    </w:p>
    <w:p>
      <w:pPr>
        <w:pStyle w:val="BodyText"/>
      </w:pPr>
      <w:r>
        <w:t xml:space="preserve">“</w:t>
      </w:r>
      <w:r>
        <w:t xml:space="preserve">it is the name of the Relation in which the Father stands to the Son, and the Son to the Father.</w:t>
      </w:r>
      <w:r>
        <w:t xml:space="preserve">”</w:t>
      </w:r>
    </w:p>
    <w:p>
      <w:pPr>
        <w:pStyle w:val="BodyText"/>
      </w:pPr>
      <w:r>
        <w:t xml:space="preserve">Oration 29 §16, Browne/Swallow, NPNF, second series VII; directly consulted at CCEL.</w:t>
      </w:r>
    </w:p>
    <w:p>
      <w:pPr>
        <w:pStyle w:val="BodyText"/>
      </w:pPr>
      <w:r>
        <w:t xml:space="preserve">Locus: Oration 29 §§6–8, 16</w:t>
      </w:r>
    </w:p>
    <w:p>
      <w:pPr>
        <w:pStyle w:val="BodyText"/>
      </w:pPr>
      <w:r>
        <w:t xml:space="preserve">Limit: Begotten personal origin is not created existential dependence. This theological case does not prove that contingent creative direction can be relationally specified.</w:t>
      </w:r>
    </w:p>
    <w:p>
      <w:pPr>
        <w:pStyle w:val="BodyText"/>
      </w:pPr>
      <w:r>
        <w:t xml:space="preserve">Source: https://ccel.org/ccel/schaff/npnf207/npnf207.iii.xv.html</w:t>
      </w:r>
    </w:p>
    <w:bookmarkEnd w:id="131"/>
    <w:bookmarkStart w:id="132" w:name="X15b696864e35e6f5aba2cd3da459f50b16b9759"/>
    <w:p>
      <w:pPr>
        <w:pStyle w:val="Heading3"/>
      </w:pPr>
      <w:r>
        <w:t xml:space="preserve">Joseph Ratzinger / Benedict XVI: Relation that preserves the person</w:t>
      </w:r>
    </w:p>
    <w:p>
      <w:pPr>
        <w:pStyle w:val="FirstParagraph"/>
      </w:pPr>
      <w:r>
        <w:t xml:space="preserve">Ratzinger calls for a critical metaphysical evaluation of relation. Communion can preserve identity; God as universal source can be understood together with Logos and personal love. The inquiry therefore concerns concrete persons and their fulfillment, as well as abstract causal structure.</w:t>
      </w:r>
    </w:p>
    <w:p>
      <w:pPr>
        <w:pStyle w:val="BodyText"/>
      </w:pPr>
      <w:r>
        <w:t xml:space="preserve">“</w:t>
      </w:r>
      <w:r>
        <w:t xml:space="preserve">true openness does not mean loss of individual identity</w:t>
      </w:r>
      <w:r>
        <w:t xml:space="preserve">”</w:t>
      </w:r>
    </w:p>
    <w:p>
      <w:pPr>
        <w:pStyle w:val="BodyText"/>
      </w:pPr>
      <w:r>
        <w:t xml:space="preserve">Caritas in veritate §54; unofficial transcript of the official English text consulted; official collation outstanding.</w:t>
      </w:r>
    </w:p>
    <w:p>
      <w:pPr>
        <w:pStyle w:val="BodyText"/>
      </w:pPr>
      <w:r>
        <w:t xml:space="preserve">Locus: Caritas in veritate §§53–54; Deus caritas est §§9–10</w:t>
      </w:r>
    </w:p>
    <w:p>
      <w:pPr>
        <w:pStyle w:val="BodyText"/>
      </w:pPr>
      <w:r>
        <w:t xml:space="preserve">Limit: Human growth through relationships does not prove that God remains intrinsically unchanged across alternative creations. Eternal personal relations are not alternative acts of creation. The 1990 Person essay remains an unconsulted lead.</w:t>
      </w:r>
    </w:p>
    <w:p>
      <w:pPr>
        <w:pStyle w:val="BodyText"/>
      </w:pPr>
      <w:r>
        <w:t xml:space="preserve">Source: https://www.vatican.va/content/benedict-xvi/en/encyclicals/documents/hf_ben-xvi_enc_20090629_caritas-in-veritate.html</w:t>
      </w:r>
    </w:p>
    <w:bookmarkEnd w:id="132"/>
    <w:bookmarkStart w:id="133" w:name="X979add72a3105b8cb2ed0ba9d71b025cdacb9fd"/>
    <w:p>
      <w:pPr>
        <w:pStyle w:val="Heading3"/>
      </w:pPr>
      <w:r>
        <w:t xml:space="preserve">Thomas Aquinas: A precise bridge, with a definite cost</w:t>
      </w:r>
    </w:p>
    <w:p>
      <w:pPr>
        <w:pStyle w:val="FirstParagraph"/>
      </w:pPr>
      <w:r>
        <w:t xml:space="preserve">Dependence on parts, voluntary creation, knowing effects through self-knowledge, and asymmetric Creator–creature relations help answer distinct questions. His achievement helps specify the questions; it does not require adopting every part of his metaphysics as this page’s framework.</w:t>
      </w:r>
    </w:p>
    <w:p>
      <w:pPr>
        <w:pStyle w:val="BodyText"/>
      </w:pPr>
      <w:r>
        <w:t xml:space="preserve">Earlier-page primary-source and formal audit inherited; no fresh critical-edition collation here.</w:t>
      </w:r>
    </w:p>
    <w:p>
      <w:pPr>
        <w:pStyle w:val="BodyText"/>
      </w:pPr>
      <w:r>
        <w:t xml:space="preserve">Locus: Summa theologiae I, q. 3; q. 14, aa. 5, 8, 13; q. 19, aa. 3, 7; q. 45, a. 3</w:t>
      </w:r>
    </w:p>
    <w:p>
      <w:pPr>
        <w:pStyle w:val="BodyText"/>
      </w:pPr>
      <w:r>
        <w:t xml:space="preserve">Limit: A relation real in the creature need not add a feature to God; that claim must still explain genuine divine control. Each proposed real distinction still needs an argument showing whether it adds a constituent or received actuality to God.</w:t>
      </w:r>
    </w:p>
    <w:p>
      <w:pPr>
        <w:pStyle w:val="BodyText"/>
      </w:pPr>
      <w:r>
        <w:t xml:space="preserve">Source: https://www.newadvent.org/summa/1019.htm</w:t>
      </w:r>
    </w:p>
    <w:bookmarkEnd w:id="133"/>
    <w:bookmarkEnd w:id="134"/>
    <w:bookmarkStart w:id="135" w:name="X2180b5989a9420f61a6b4d81341b0088721e320"/>
    <w:p>
      <w:pPr>
        <w:pStyle w:val="Heading2"/>
      </w:pPr>
      <w:r>
        <w:t xml:space="preserve">07. Received agency and the good of finite life</w:t>
      </w:r>
    </w:p>
    <w:p>
      <w:pPr>
        <w:pStyle w:val="FirstParagraph"/>
      </w:pPr>
      <w:r>
        <w:t xml:space="preserve">CONSTRUCTIVE APPLICATION WITH PRIMARY RESOURCES</w:t>
      </w:r>
    </w:p>
    <w:p>
      <w:pPr>
        <w:pStyle w:val="BodyText"/>
      </w:pPr>
      <w:r>
        <w:t xml:space="preserve">Dependence can enable a subject’s own act; finite conditions can constitute its good.</w:t>
      </w:r>
    </w:p>
    <w:p>
      <w:pPr>
        <w:pStyle w:val="BodyText"/>
      </w:pPr>
      <w:r>
        <w:t xml:space="preserve">A power can be given and genuinely exercisedParticipation means real dependent possession according to the participant’s mode. Applied to agency, this demands a further bridge: the creature must possess an operative power and exercise it through its own judgment, intention, and control. Receiving a power and using it are different relations. God’s sustaining the agent does not, merely by that fact, make God the subject of the agent’s intention.</w:t>
      </w:r>
    </w:p>
    <w:p>
      <w:pPr>
        <w:pStyle w:val="BodyText"/>
      </w:pPr>
      <w:r>
        <w:t xml:space="preserve">This gives secondary causality positive content. A musician may receive an instrument and still be the one who plays; support can enable a person’s choice rather than substitute for it. These finite comparisons do not prove the divine case, but they defeat the inference from dependence alone to passivity. The theological and metaphysical claim is stronger: God communicates real created powers whose exercises remain the creature’s acts. How divine concurrence preserves that control still requires a model; the word</w:t>
      </w:r>
      <w:r>
        <w:t xml:space="preserve"> </w:t>
      </w:r>
      <w:r>
        <w:t xml:space="preserve">“</w:t>
      </w:r>
      <w:r>
        <w:t xml:space="preserve">participation</w:t>
      </w:r>
      <w:r>
        <w:t xml:space="preserve">”</w:t>
      </w:r>
      <w:r>
        <w:t xml:space="preserve"> </w:t>
      </w:r>
      <w:r>
        <w:t xml:space="preserve">cannot supply one.</w:t>
      </w:r>
    </w:p>
    <w:p>
      <w:pPr>
        <w:pStyle w:val="BodyText"/>
      </w:pPr>
      <w:r>
        <w:t xml:space="preserve">Three meanings of limitationSome limitations are privations: ignorance obstructs knowledge. Others are positive conditions of a particular good: a melody needs succession, a conversation distinct speakers, a promise a history of fidelity. Still others are adverse circumstances to which a good responds: courage in danger, healing after illness. Confusing these categories turns every finite condition into a defect or every good response into a justification of harm.</w:t>
      </w:r>
    </w:p>
    <w:p>
      <w:pPr>
        <w:pStyle w:val="BodyText"/>
      </w:pPr>
      <w:r>
        <w:t xml:space="preserve">The test is concrete: would removing this condition perfect the same good, or abolish that kind of good? Removing distortion improves the melody; sounding every note at once abolishes it. God can ground the goodness of learning without learning, and the goodness of courage without undergoing danger. The complete finite description need not be transferred into its source.</w:t>
      </w:r>
    </w:p>
    <w:p>
      <w:pPr>
        <w:pStyle w:val="BodyText"/>
      </w:pPr>
      <w:r>
        <w:t xml:space="preserve">Created novelty therefore matters. A friendship comes to exist; a child understands; an injustice is repaired. These are new goods in creatures, not missing episodes through which God becomes complete. Bonaventure’s proportion, Augustine’s passing words, and Nyssa’s voluntary virtue illuminate different aspects of that claim.</w:t>
      </w:r>
    </w:p>
    <w:p>
      <w:pPr>
        <w:pStyle w:val="BodyText"/>
      </w:pPr>
      <w:r>
        <w:t xml:space="preserve">Communion fulfills without absorbingRatzinger gives the argument a personal horizon: communion preserves identity. It requires knowing and loving, rather than mere dependence or proximity. Grace must enable the creature actually to know and love; divine activity passing through a passive shell would supply neither created agency nor communion. None of this turns suffering into a good simply because healing or courage can follow it.</w:t>
      </w:r>
    </w:p>
    <w:bookmarkEnd w:id="135"/>
    <w:bookmarkStart w:id="136" w:name="X18f3360128681884cc1f7c99e5dcf0f63355c66"/>
    <w:p>
      <w:pPr>
        <w:pStyle w:val="Heading2"/>
      </w:pPr>
      <w:r>
        <w:t xml:space="preserve">08. One divine actuality, different kinds of determination</w:t>
      </w:r>
    </w:p>
    <w:p>
      <w:pPr>
        <w:pStyle w:val="FirstParagraph"/>
      </w:pPr>
      <w:r>
        <w:t xml:space="preserve">REVEALED COMMITMENTS ≠ PHILOSOPHICAL DEDUCTIONS</w:t>
      </w:r>
    </w:p>
    <w:p>
      <w:pPr>
        <w:pStyle w:val="BodyText"/>
      </w:pPr>
      <w:r>
        <w:t xml:space="preserve">Essential meaning, personal origin, and contingent action cannot prove one another.</w:t>
      </w:r>
    </w:p>
    <w:p>
      <w:pPr>
        <w:pStyle w:val="BodyText"/>
      </w:pPr>
      <w:r>
        <w:t xml:space="preserve">The systematic distinction is between being determinate and receiving actuality through a determination. It organizes several questions without reducing them to one relation.</w:t>
      </w:r>
    </w:p>
    <w:p>
      <w:pPr>
        <w:pStyle w:val="Compact"/>
        <w:numPr>
          <w:ilvl w:val="0"/>
          <w:numId w:val="1009"/>
        </w:numPr>
      </w:pPr>
      <w:r>
        <w:t xml:space="preserve">Essential predication: wisdom and power differ in meaning without thereby requiring separate actuality-parts. Their realization in one divine actuality needs its own perfection argument.</w:t>
      </w:r>
    </w:p>
    <w:p>
      <w:pPr>
        <w:pStyle w:val="Compact"/>
        <w:numPr>
          <w:ilvl w:val="0"/>
          <w:numId w:val="1009"/>
        </w:numPr>
      </w:pPr>
      <w:r>
        <w:t xml:space="preserve">Personal origin: Father, Son, and Spirit are really distinct by revealed relations of origin, without divided deity. The Son’s being from the Father is not creaturely reception, actualization from potency, or lesser possession of divine life.</w:t>
      </w:r>
    </w:p>
    <w:p>
      <w:pPr>
        <w:pStyle w:val="Compact"/>
        <w:numPr>
          <w:ilvl w:val="0"/>
          <w:numId w:val="1009"/>
        </w:numPr>
      </w:pPr>
      <w:r>
        <w:t xml:space="preserve">Free outward action: creating this world rather than another is a contingent intentional difference. The proposed relational account must explain it independently; personal relations do not prove its coherence.</w:t>
      </w:r>
    </w:p>
    <w:p>
      <w:pPr>
        <w:pStyle w:val="FirstParagraph"/>
      </w:pPr>
      <w:r>
        <w:t xml:space="preserve">Nazianzen’s category correction and Bonaventure’s distinction by origin prevent simplicity from becoming the absence of every real distinction. They do not turn the Persons into alternative creative outputs.</w:t>
      </w:r>
      <w:r>
        <w:t xml:space="preserve"> </w:t>
      </w:r>
      <w:r>
        <w:t xml:space="preserve">“</w:t>
      </w:r>
      <w:r>
        <w:t xml:space="preserve">All real difference is extrinsic</w:t>
      </w:r>
      <w:r>
        <w:t xml:space="preserve">”</w:t>
      </w:r>
      <w:r>
        <w:t xml:space="preserve"> </w:t>
      </w:r>
      <w:r>
        <w:t xml:space="preserve">would itself contradict the revealed personal relations.</w:t>
      </w:r>
    </w:p>
    <w:p>
      <w:pPr>
        <w:pStyle w:val="BodyText"/>
      </w:pPr>
      <w:r>
        <w:t xml:space="preserve">The Incarnation is another distinct claim. Christ’s humanity is not an ordinary participant elevated until it becomes God. The one divine Son personally subsists in divine and human natures without confusion or division. His human willing and suffering are real; they do not become creaturely properties of the divine nature. General participation can protect the categories, but cannot establish the hypostatic union or the identity of Jesus Christ.</w:t>
      </w:r>
    </w:p>
    <w:p>
      <w:pPr>
        <w:pStyle w:val="BodyText"/>
      </w:pPr>
      <w:r>
        <w:t xml:space="preserve">Beatific vision supplies a final correction. Catholic teaching affirms immediate vision of God himself, not merely a created representation standing in for him. The finite act of seeing remains received and non-exhaustive: immediacy identifies the object, not equality with God’s cognitive mode. Neither personal distinction nor fulfilled communion entails partition, absorption, or the disappearance of created agency.</w:t>
      </w:r>
    </w:p>
    <w:bookmarkEnd w:id="136"/>
    <w:bookmarkStart w:id="137" w:name="X2aa4d949e88c090b5d8c079062bbf31a054818c"/>
    <w:p>
      <w:pPr>
        <w:pStyle w:val="Heading2"/>
      </w:pPr>
      <w:r>
        <w:t xml:space="preserve">09. A determinate explanation with explicit stopping points</w:t>
      </w:r>
    </w:p>
    <w:p>
      <w:pPr>
        <w:pStyle w:val="FirstParagraph"/>
      </w:pPr>
      <w:r>
        <w:t xml:space="preserve">STARTING COMMITMENTS AND OPEN QUESTIONS</w:t>
      </w:r>
    </w:p>
    <w:p>
      <w:pPr>
        <w:pStyle w:val="BodyText"/>
      </w:pPr>
      <w:r>
        <w:t xml:space="preserve">Actuality, agency, and knowledge each make a distinct explanatory demand.</w:t>
      </w:r>
    </w:p>
    <w:p>
      <w:pPr>
        <w:pStyle w:val="BodyText"/>
      </w:pPr>
      <w:r>
        <w:t xml:space="preserve">Where Explanation Finally Stops. Actuality tells us that something is so. It does not say why this intention occurs, what makes it the agent’s act, or how it is known. Individuation asks what makes it this particular action; constitution asks whether something more basic makes the agent what it is. An answer to either need not answer the other.</w:t>
      </w:r>
    </w:p>
    <w:p>
      <w:pPr>
        <w:pStyle w:val="BodyText"/>
      </w:pPr>
      <w:r>
        <w:t xml:space="preserve">The account terminates in an intelligent agent’s actual rational exercise, not in an infinite sequence of inner selectors. That stopping point is defensible only if the agent’s intention and control really explain the outcome. A lottery does not become authorship because its unexplained result has been called a choice. Conversely, an explanation need not be deterministic merely because it is genuine.</w:t>
      </w:r>
    </w:p>
    <w:p>
      <w:pPr>
        <w:pStyle w:val="BodyText"/>
      </w:pPr>
      <w:r>
        <w:t xml:space="preserve">Dependence on constituents excludes proper intrinsic parts in an absolutely underived source. It has not established intrinsic invariance across possible creations, every divine perfection, or a theory of free choice. Those bridges remain distinct. One concrete realizer of several compatible meanings does not demonstrate one unchanging intellect’s knowledge of incompatible alternative histories.</w:t>
      </w:r>
    </w:p>
    <w:p>
      <w:pPr>
        <w:pStyle w:val="BodyText"/>
      </w:pPr>
      <w:r>
        <w:t xml:space="preserve">Cause and recipient can clarify one another conceptually. Learning about God through effects need not make God depend upon those effects. A definitional circle would arise if source and reception were each defined entirely through the other; an ontological reversal would arise if creatures supplied the very actuality by which God explains them. Neither is required by the proposed relational explanation.</w:t>
      </w:r>
    </w:p>
    <w:p>
      <w:pPr>
        <w:pStyle w:val="BodyText"/>
      </w:pPr>
      <w:r>
        <w:t xml:space="preserve">U(g) + dependence on constituents ⇒ no proper intrinsic parts.</w:t>
      </w:r>
      <w:r>
        <w:t xml:space="preserve"> </w:t>
      </w:r>
      <w:r>
        <w:t xml:space="preserve">No proper parts ⇏ intrinsic invariance or free action.</w:t>
      </w:r>
      <w:r>
        <w:t xml:space="preserve"> </w:t>
      </w:r>
      <w:r>
        <w:t xml:space="preserve">S(g,e,p) + T(e,x) ⇒ intentional action that produces x.</w:t>
      </w:r>
      <w:r>
        <w:t xml:space="preserve"> </w:t>
      </w:r>
      <w:r>
        <w:t xml:space="preserve">S(g,e,p) + T(e,x) + SelfAccess(g,e)</w:t>
      </w:r>
      <w:r>
        <w:t xml:space="preserve"> </w:t>
      </w:r>
      <w:r>
        <w:t xml:space="preserve">+ Transparency(e,x) + Warrant(g,e)</w:t>
      </w:r>
      <w:r>
        <w:t xml:space="preserve"> </w:t>
      </w:r>
      <w:r>
        <w:t xml:space="preserve">⇒ knowledge of x through the action.</w:t>
      </w:r>
      <w:r>
        <w:t xml:space="preserve"> </w:t>
      </w:r>
      <w:r>
        <w:t xml:space="preserve">Knowledge of free secondary acts requires an additional awareness bridge.</w:t>
      </w:r>
    </w:p>
    <w:p>
      <w:pPr>
        <w:pStyle w:val="BodyText"/>
      </w:pPr>
      <w:r>
        <w:t xml:space="preserve">The final line is indispensable. A formula that records comprehensive awareness would not derive it. The constructive explanation has a clear core and a clear remaining boundary.</w:t>
      </w:r>
    </w:p>
    <w:bookmarkEnd w:id="137"/>
    <w:bookmarkStart w:id="138" w:name="a-proposal-with-an-argumentative-cost"/>
    <w:p>
      <w:pPr>
        <w:pStyle w:val="Heading2"/>
      </w:pPr>
      <w:r>
        <w:t xml:space="preserve">10. A proposal with an argumentative cost</w:t>
      </w:r>
    </w:p>
    <w:p>
      <w:pPr>
        <w:pStyle w:val="FirstParagraph"/>
      </w:pPr>
      <w:r>
        <w:t xml:space="preserve">NEWMAN-STYLE ANALOGY · PROVISIONAL</w:t>
      </w:r>
    </w:p>
    <w:p>
      <w:pPr>
        <w:pStyle w:val="BodyText"/>
      </w:pPr>
      <w:r>
        <w:t xml:space="preserve">Its contribution is to connect distinct explanatory achievements without making them interchangeable.</w:t>
      </w:r>
    </w:p>
    <w:p>
      <w:pPr>
        <w:pStyle w:val="BodyText"/>
      </w:pPr>
      <w:r>
        <w:t xml:space="preserve">The proposal preserves participation’s type: an uncreated source, real creaturely otherness and goodness, received possession, and asymmetric dependence. It assimilates theophany, exemplarism, personal relation, rational freedom, and secondary agency while keeping their different explanatory jobs visible. Its sequence is intelligible: participation raises questions about the source; simplicity raises questions about concrete intelligent action; action raises questions about contingent knowledge and communion.</w:t>
      </w:r>
    </w:p>
    <w:p>
      <w:pPr>
        <w:pStyle w:val="BodyText"/>
      </w:pPr>
      <w:r>
        <w:t xml:space="preserve">The positive gain is a coordinated account of determination without acquired divine completion. That is a systematic development of inherited distinctions, rather than a claim that the vocabulary names an unprecedented primitive or a new proof superior to every classical argument.</w:t>
      </w:r>
    </w:p>
    <w:p>
      <w:pPr>
        <w:pStyle w:val="BodyText"/>
      </w:pPr>
      <w:r>
        <w:t xml:space="preserve">Three strong rivals remain. Necessary emanation offers productive fullness but denies the required alternatives. Intrinsic variation in divine intentions preserves choice while denying invariance, without necessarily introducing proper parts. An outcome-only relational account preserves invariance but fails to supply intentional authorship. The present proposal succeeds only if it preserves the explanatory strengths of the second while excluding the failure of the third.</w:t>
      </w:r>
    </w:p>
    <w:p>
      <w:pPr>
        <w:pStyle w:val="BodyText"/>
      </w:pPr>
      <w:r>
        <w:t xml:space="preserve">Historical differences matter. Eriugena’s strongest identity and divine self-manifestation language is not simply Aquinas’s mixed relations; Scotus’s distinctions cannot be refuted by counting them as parts. These traditions supply arguments and counterpressure, not signatures beneath one modern theory.</w:t>
      </w:r>
    </w:p>
    <w:p>
      <w:pPr>
        <w:pStyle w:val="BodyText"/>
      </w:pPr>
      <w:r>
        <w:t xml:space="preserve">Newman’s preservation of type, continuity of principles, logical sequence, and assimilative power are useful tests. Long-term stability and explanatory fruitfulness remain prospective. The analogy does not certify this architecture as defined Catholic doctrine.</w:t>
      </w:r>
    </w:p>
    <w:p>
      <w:pPr>
        <w:pStyle w:val="BodyText"/>
      </w:pPr>
      <w:r>
        <w:t xml:space="preserve">What removing an assumption leaves unexplained</w:t>
      </w:r>
    </w:p>
    <w:p>
      <w:pPr>
        <w:pStyle w:val="BodyText"/>
      </w:pPr>
      <w:r>
        <w:t xml:space="preserve">These are losses within the proposed explanation. They do not establish that no rival account could replace an omitted assumption.</w:t>
      </w:r>
    </w:p>
    <w:p>
      <w:pPr>
        <w:pStyle w:val="Compact"/>
        <w:numPr>
          <w:ilvl w:val="0"/>
          <w:numId w:val="1010"/>
        </w:numPr>
      </w:pPr>
      <w:r>
        <w:t xml:space="preserve">Remove Recipient conditions: Variation must be explained elsewhere; different receptions lose their explanation. Diagnostic: Different impressions wrongly force different parts in their source.</w:t>
      </w:r>
    </w:p>
    <w:p>
      <w:pPr>
        <w:pStyle w:val="Compact"/>
        <w:numPr>
          <w:ilvl w:val="0"/>
          <w:numId w:val="1010"/>
        </w:numPr>
      </w:pPr>
      <w:r>
        <w:t xml:space="preserve">Remove Intention and control: A benefit or outcome remains without an intentional agent. Diagnostic: An accidentally arriving blanket still warms someone.</w:t>
      </w:r>
    </w:p>
    <w:p>
      <w:pPr>
        <w:pStyle w:val="Compact"/>
        <w:numPr>
          <w:ilvl w:val="0"/>
          <w:numId w:val="1010"/>
        </w:numPr>
      </w:pPr>
      <w:r>
        <w:t xml:space="preserve">Remove Actual action: A capacity or possible plan remains without an actual choice. Diagnostic: The same powers alone identify neither creation nor refraining.</w:t>
      </w:r>
    </w:p>
    <w:p>
      <w:pPr>
        <w:pStyle w:val="Compact"/>
        <w:numPr>
          <w:ilvl w:val="0"/>
          <w:numId w:val="1010"/>
        </w:numPr>
      </w:pPr>
      <w:r>
        <w:t xml:space="preserve">Remove Producing the intended outcome: An intention remains without success. Diagnostic: A planned gift may never arrive.</w:t>
      </w:r>
    </w:p>
    <w:p>
      <w:pPr>
        <w:pStyle w:val="Compact"/>
        <w:numPr>
          <w:ilvl w:val="0"/>
          <w:numId w:val="1010"/>
        </w:numPr>
      </w:pPr>
      <w:r>
        <w:t xml:space="preserve">Remove Access and justification: True content can remain without established knowledge. Diagnostic: A lucky guess is correct but unsupported.</w:t>
      </w:r>
    </w:p>
    <w:p>
      <w:pPr>
        <w:pStyle w:val="Compact"/>
        <w:numPr>
          <w:ilvl w:val="0"/>
          <w:numId w:val="1010"/>
        </w:numPr>
      </w:pPr>
      <w:r>
        <w:t xml:space="preserve">Remove Intrinsic invariance: An agent may have no proper parts while its intrinsic intentions differ across alternatives. Diagnostic: A rival rejects the claim that God remains intrinsically the same.</w:t>
      </w:r>
    </w:p>
    <w:bookmarkEnd w:id="138"/>
    <w:bookmarkStart w:id="144" w:name="Xc3e244406f0de1a7238d2f58faa2e70d50e0518"/>
    <w:p>
      <w:pPr>
        <w:pStyle w:val="Heading2"/>
      </w:pPr>
      <w:r>
        <w:t xml:space="preserve">11. The source status is part of the argument</w:t>
      </w:r>
    </w:p>
    <w:p>
      <w:pPr>
        <w:pStyle w:val="FirstParagraph"/>
      </w:pPr>
      <w:r>
        <w:t xml:space="preserve">AUDITABLE SOURCES</w:t>
      </w:r>
    </w:p>
    <w:p>
      <w:pPr>
        <w:pStyle w:val="BodyText"/>
      </w:pPr>
      <w:r>
        <w:t xml:space="preserve">Exact loci, consultation history, and outstanding checks remain visible.</w:t>
      </w:r>
    </w:p>
    <w:p>
      <w:pPr>
        <w:pStyle w:val="BodyText"/>
      </w:pPr>
      <w:r>
        <w:t xml:space="preserve">The supplied Definitive Synthetic Edition and Working Philosophical Toolkit guide this revision’s constructive architecture; they do not upgrade the consultation status of the historical sources. Fresh primary translations at CCEL support the Dionysian and Nazianzen passages. Bonaventure and Eriugena reuse the supplied manuscript’s primary register alongside fresh specialist comparison. Maximus’s Greek witness is provisional. Ratzinger’s encyclicals were consulted in unofficial transcripts of official English texts; comparison with the official text remains outstanding. These differences are not hidden behind a single</w:t>
      </w:r>
      <w:r>
        <w:t xml:space="preserve"> </w:t>
      </w:r>
      <w:r>
        <w:t xml:space="preserve">“</w:t>
      </w:r>
      <w:r>
        <w:t xml:space="preserve">verified</w:t>
      </w:r>
      <w:r>
        <w:t xml:space="preserve">”</w:t>
      </w:r>
      <w:r>
        <w:t xml:space="preserve"> </w:t>
      </w:r>
      <w:r>
        <w:t xml:space="preserve">label.</w:t>
      </w:r>
    </w:p>
    <w:p>
      <w:pPr>
        <w:pStyle w:val="BodyText"/>
      </w:pPr>
      <w:r>
        <w:t xml:space="preserve">Evidence statusAll source entriesFresh primary translationInherited primary consultationProvisional / transcript qualificationSpecialist scholarship onlyUnconsulted leads only</w:t>
      </w:r>
    </w:p>
    <w:p>
      <w:pPr>
        <w:pStyle w:val="BodyText"/>
      </w:pPr>
      <w:r>
        <w:t xml:space="preserve">Filters inspect the complete 28-entry ledger, including specialist scholarship and unconsulted leads such as Ratzinger’s 1990 Person essay. This remains a disciplined research proposal, rather than an exhaustive critical-edition survey.</w:t>
      </w:r>
    </w:p>
    <w:p>
      <w:pPr>
        <w:pStyle w:val="BodyText"/>
      </w:pPr>
      <w:hyperlink r:id="rId139">
        <w:r>
          <w:rPr>
            <w:rStyle w:val="Hyperlink"/>
          </w:rPr>
          <w:t xml:space="preserve">Shared reading guide →</w:t>
        </w:r>
      </w:hyperlink>
      <w:hyperlink r:id="rId140">
        <w:r>
          <w:rPr>
            <w:rStyle w:val="Hyperlink"/>
          </w:rPr>
          <w:t xml:space="preserve">Complete Part III report →</w:t>
        </w:r>
      </w:hyperlink>
      <w:hyperlink r:id="rId121">
        <w:r>
          <w:rPr>
            <w:rStyle w:val="Hyperlink"/>
          </w:rPr>
          <w:t xml:space="preserve">Formal audit &amp; cases →</w:t>
        </w:r>
      </w:hyperlink>
      <w:hyperlink r:id="rId141">
        <w:r>
          <w:rPr>
            <w:rStyle w:val="Hyperlink"/>
          </w:rPr>
          <w:t xml:space="preserve">Source dossier →</w:t>
        </w:r>
      </w:hyperlink>
      <w:hyperlink r:id="rId142">
        <w:r>
          <w:rPr>
            <w:rStyle w:val="Hyperlink"/>
          </w:rPr>
          <w:t xml:space="preserve">Machine-readable source ledger →</w:t>
        </w:r>
      </w:hyperlink>
    </w:p>
    <w:p>
      <w:pPr>
        <w:pStyle w:val="BodyText"/>
      </w:pPr>
      <w:r>
        <w:t xml:space="preserve">Further reading and an imaginative companionTwo optional companions to this inquiry into divine action deserve an honorable mention.</w:t>
      </w:r>
    </w:p>
    <w:p>
      <w:pPr>
        <w:pStyle w:val="BodyText"/>
      </w:pPr>
      <w:r>
        <w:t xml:space="preserve">A philosophical resourceKerr, G. (2023).</w:t>
      </w:r>
      <w:r>
        <w:t xml:space="preserve"> </w:t>
      </w:r>
      <w:hyperlink r:id="rId143">
        <w:r>
          <w:rPr>
            <w:rStyle w:val="Hyperlink"/>
          </w:rPr>
          <w:t xml:space="preserve">God and the alone world</w:t>
        </w:r>
      </w:hyperlink>
      <w:r>
        <w:t xml:space="preserve">. Irish Theological Quarterly, 88(1), 76–89.</w:t>
      </w:r>
    </w:p>
    <w:p>
      <w:pPr>
        <w:pStyle w:val="BodyText"/>
      </w:pPr>
      <w:r>
        <w:t xml:space="preserve">A further-reading lead for pursuing the question of divine agency alongside the distinctions developed here between power, actual action, and knowledge. No particular argument from the article is attributed or adopted here.</w:t>
      </w:r>
    </w:p>
    <w:p>
      <w:pPr>
        <w:pStyle w:val="BodyText"/>
      </w:pPr>
      <w:r>
        <w:t xml:space="preserve">A loose comic-book metaphorEwing, A., Vecchio, L., Curiel, D., Aburtov, J., &amp; Sabino, J. V. C. (2024). Resurrection of Magneto #4. Marvel Comics.</w:t>
      </w:r>
    </w:p>
    <w:p>
      <w:pPr>
        <w:pStyle w:val="BodyText"/>
      </w:pPr>
      <w:r>
        <w:t xml:space="preserve">Consider Magneto as an imaginative comparison: an agent directing power toward a particular result can help us picture direct agency without a preliminary chain of separate actions. Directness alone does not establish freedom, and it need not mean reflex or psychological flow. The character remains a finite fictional agent; the comparison supplies no premise about divine simplicity, creation, or knowledge.</w:t>
      </w:r>
    </w:p>
    <w:p>
      <w:pPr>
        <w:pStyle w:val="BodyText"/>
      </w:pPr>
      <w:r>
        <w:t xml:space="preserve">These are reader-suggested resources. Bibliographic details are supplied by the reader; the article and comic have not been directly consulted for this page. The metaphysical account rests on the arguments and premises developed above.</w:t>
      </w:r>
    </w:p>
    <w:bookmarkEnd w:id="144"/>
    <w:bookmarkStart w:id="145" w:name="a-gift-can-become-a-life"/>
    <w:p>
      <w:pPr>
        <w:pStyle w:val="Heading2"/>
      </w:pPr>
      <w:r>
        <w:t xml:space="preserve">12. A gift can become a life</w:t>
      </w:r>
    </w:p>
    <w:p>
      <w:pPr>
        <w:pStyle w:val="FirstParagraph"/>
      </w:pPr>
      <w:r>
        <w:t xml:space="preserve">POSITIVE RESULT / CONDITIONAL METAPHYSICS</w:t>
      </w:r>
    </w:p>
    <w:p>
      <w:pPr>
        <w:pStyle w:val="BodyText"/>
      </w:pPr>
      <w:r>
        <w:t xml:space="preserve">Creaturely fulfillment can be real without constituting or completing God.</w:t>
      </w:r>
    </w:p>
    <w:p>
      <w:pPr>
        <w:pStyle w:val="BodyText"/>
      </w:pPr>
      <w:r>
        <w:t xml:space="preserve">The core result is an explanatory separation with positive consequences. What an agent produces, intends, controls, communicates, and knows cannot simply replace one another. A creature can receive a real power and genuinely exercise it. A finite history can bring a new good into existence without supplying God with a missing perfection. Communion can fulfill the recipient while preserving its identity.</w:t>
      </w:r>
    </w:p>
    <w:p>
      <w:pPr>
        <w:pStyle w:val="BodyText"/>
      </w:pPr>
      <w:r>
        <w:t xml:space="preserve">Applied to divine action, the proposal locates the contingent direction of creation in God’s real controlled relation to its intended effect, rather than in an acquired divine constituent. It must still defend that intentional ontology and the non-receptive knowledge it requires. Those are substantive bridges, not consequences of the word</w:t>
      </w:r>
      <w:r>
        <w:t xml:space="preserve"> </w:t>
      </w:r>
      <w:r>
        <w:t xml:space="preserve">“</w:t>
      </w:r>
      <w:r>
        <w:t xml:space="preserve">simple.</w:t>
      </w:r>
      <w:r>
        <w:t xml:space="preserve">”</w:t>
      </w:r>
    </w:p>
    <w:p>
      <w:pPr>
        <w:pStyle w:val="BodyText"/>
      </w:pPr>
      <w:r>
        <w:t xml:space="preserve">From source to plenitude, and to</w:t>
      </w:r>
      <w:r>
        <w:t xml:space="preserve"> </w:t>
      </w:r>
      <w:r>
        <w:t xml:space="preserve">“</w:t>
      </w:r>
      <w:r>
        <w:t xml:space="preserve">all in all</w:t>
      </w:r>
      <w:r>
        <w:t xml:space="preserve">”</w:t>
      </w:r>
      <w:r>
        <w:t xml:space="preserve">The six simplicity accomplishments exclude specified forms of received divine actuality. Their negative achievement does not alone establish every positive perfection. A further causal-adequacy and pure-perfection argument must warrant intellect, goodness, and plenitude. Universal sourcehood must likewise be argued, rather than inferred from a local cause.</w:t>
      </w:r>
    </w:p>
    <w:p>
      <w:pPr>
        <w:pStyle w:val="BodyText"/>
      </w:pPr>
      <w:r>
        <w:t xml:space="preserve">Under those bridges, God can be understood as the unreceived fullness from which every created good receives its actuality. The All names that fullness under universal sourcehood, not an aggregate made by adding God to the universe. Free communication remains a further step: abundance does not select a world merely by being abundant.</w:t>
      </w:r>
    </w:p>
    <w:p>
      <w:pPr>
        <w:pStyle w:val="BodyText"/>
      </w:pPr>
      <w:r>
        <w:t xml:space="preserve">Christian revelation then gives the final horizon that metaphysics alone cannot generate. The supplied manuscript situates 1 Corinthians 15:20–28 in its Christological setting: resurrection, Christ’s reign, the defeat of death, and the handing over of the kingdom frame the confession that God is all in all. This is a contextual paraphrase, not a newly collated biblical translation. The movement is the consummation of creation through Christ, not the source’s acquisition of its final completeness. The verse alone neither proves this philosophical architecture nor settles every person’s final destiny.</w:t>
      </w:r>
    </w:p>
    <w:p>
      <w:pPr>
        <w:pStyle w:val="BodyText"/>
      </w:pPr>
      <w:r>
        <w:t xml:space="preserve">God does not become complete through creation. Creation can become fulfilled through God.</w:t>
      </w:r>
    </w:p>
    <w:p>
      <w:pPr>
        <w:pStyle w:val="BodyText"/>
      </w:pPr>
      <w:r>
        <w:t xml:space="preserve">Resurrection and communion preserve embodied personal identity; beatific intimacy does not exhaust or divide its divine object. The end is therefore more than dependence made visible: it is a received life brought into knowing and loving communion. That promised consummation is theological content; the metaphysical contribution is to make its intimacy, creaturely reality, and divine sufficiency intelligible together.</w:t>
      </w:r>
    </w:p>
    <w:p>
      <w:pPr>
        <w:pStyle w:val="BodyText"/>
      </w:pPr>
      <w:hyperlink r:id="rId118">
        <w:r>
          <w:rPr>
            <w:rStyle w:val="Hyperlink"/>
          </w:rPr>
          <w:t xml:space="preserve">← Revisit simplicity and free creation</w:t>
        </w:r>
      </w:hyperlink>
      <w:hyperlink r:id="rId117">
        <w:r>
          <w:rPr>
            <w:rStyle w:val="Hyperlink"/>
          </w:rPr>
          <w:t xml:space="preserve">Return to Participation →</w:t>
        </w:r>
      </w:hyperlink>
    </w:p>
    <w:p>
      <w:pPr>
        <w:pStyle w:val="BodyText"/>
      </w:pPr>
      <w:r>
        <w:t xml:space="preserve">The interactive case records and rival interpretations are in real-difference-formal.md; editions, consultation provenance and specialist leads are in real-difference-sources.md and real-difference-ledger.json.</w:t>
      </w:r>
    </w:p>
    <w:bookmarkEnd w:id="145"/>
    <w:bookmarkStart w:id="158" w:name="questions-and-answers-2"/>
    <w:p>
      <w:pPr>
        <w:pStyle w:val="Heading2"/>
      </w:pPr>
      <w:r>
        <w:t xml:space="preserve">Questions and answers</w:t>
      </w:r>
    </w:p>
    <w:p>
      <w:pPr>
        <w:pStyle w:val="FirstParagraph"/>
      </w:pPr>
      <w:r>
        <w:t xml:space="preserve">This intended creation, knowledge of actual action, and the significance of finite goods.</w:t>
      </w:r>
    </w:p>
    <w:bookmarkStart w:id="149" w:name="X5a3f6bf76432bb43a071e4c9f6e55c44b79fc73"/>
    <w:p>
      <w:pPr>
        <w:pStyle w:val="Heading3"/>
      </w:pPr>
      <w:r>
        <w:t xml:space="preserve">7. What makes this creation God’s actual intention without creation adding an intrinsic determination to God?</w:t>
      </w:r>
    </w:p>
    <w:p>
      <w:pPr>
        <w:pStyle w:val="FirstParagraph"/>
      </w:pPr>
      <w:r>
        <w:t xml:space="preserve">The proposed answer is an actual intentional action directed toward this creation. The source understands the intended good and voluntarily exercises effective power toward it; the world receives the resulting actuality. This distinguishes the reason for acting, actual authorship, and successful production. The intention does explanatory work before the effect supplies its description, where before means explanatory priority rather than a temporal interval. A general creative capacity or the completed world’s existence would not explain why this world was intended.</w:t>
      </w:r>
    </w:p>
    <w:p>
      <w:pPr>
        <w:pStyle w:val="BodyText"/>
      </w:pPr>
      <w:r>
        <w:t xml:space="preserve">This is a disputed compatibility proposal, not a result secured by calling the action relational. It must explain why that relation is genuine intentional agency rather than a new description attached to the outcome. A rival permits different intrinsic intentions across possibilities while denying parts or temporal acquisition. Noncomposition alone has not refuted it. The central burden is to defend determinate divine action with no difference in God’s intrinsic actuality across those alternatives.</w:t>
      </w:r>
    </w:p>
    <w:bookmarkStart w:id="148" w:name="X3b2c4b494fbbc4f618a8f1c939c068a284446f8"/>
    <w:p>
      <w:pPr>
        <w:pStyle w:val="Heading4"/>
      </w:pPr>
      <w:r>
        <w:t xml:space="preserve">The premises behind this answer: A relational account of intentional action</w:t>
      </w:r>
    </w:p>
    <w:p>
      <w:pPr>
        <w:pStyle w:val="FirstParagraph"/>
      </w:pPr>
      <w:r>
        <w:t xml:space="preserve">Adds a proposed account of real intentional direction while retaining the stronger claim of identical intrinsic actuality across alternatives. The relational ontology remains disputed.</w:t>
      </w:r>
    </w:p>
    <w:p>
      <w:pPr>
        <w:pStyle w:val="BodyText"/>
      </w:pPr>
      <w:r>
        <w:t xml:space="preserve">Adopt these premises:</w:t>
      </w:r>
    </w:p>
    <w:p>
      <w:pPr>
        <w:pStyle w:val="Compact"/>
        <w:numPr>
          <w:ilvl w:val="0"/>
          <w:numId w:val="1011"/>
        </w:numPr>
      </w:pPr>
      <w:r>
        <w:t xml:space="preserve">Actual voluntary action is an irreducible fact of an agent’s reason-guided control, not just a power or an effect-description.</w:t>
      </w:r>
    </w:p>
    <w:p>
      <w:pPr>
        <w:pStyle w:val="Compact"/>
        <w:numPr>
          <w:ilvl w:val="0"/>
          <w:numId w:val="1011"/>
        </w:numPr>
      </w:pPr>
      <w:r>
        <w:t xml:space="preserve">Its particular direction concerns understood possible content; successful production makes that content actual without the effect causing the intention.</w:t>
      </w:r>
    </w:p>
    <w:p>
      <w:pPr>
        <w:pStyle w:val="Compact"/>
        <w:numPr>
          <w:ilvl w:val="0"/>
          <w:numId w:val="1011"/>
        </w:numPr>
      </w:pPr>
      <w:r>
        <w:t xml:space="preserve">Adopt the stronger commitment that God’s intrinsic actuality is the same across creation alternatives.</w:t>
      </w:r>
    </w:p>
    <w:p>
      <w:pPr>
        <w:pStyle w:val="Compact"/>
        <w:numPr>
          <w:ilvl w:val="0"/>
          <w:numId w:val="1011"/>
        </w:numPr>
      </w:pPr>
      <w:r>
        <w:t xml:space="preserve">A contingent creative intention can be genuinely determinate in the agent’s real relation to understood content without any added or different intrinsic actuality in God.</w:t>
      </w:r>
    </w:p>
    <w:p>
      <w:pPr>
        <w:pStyle w:val="FirstParagraph"/>
      </w:pPr>
      <w:r>
        <w:t xml:space="preserve">Why adopt them?</w:t>
      </w:r>
    </w:p>
    <w:p>
      <w:pPr>
        <w:pStyle w:val="BodyText"/>
      </w:pPr>
      <w:r>
        <w:t xml:space="preserve">The proposed relation includes agent, intended content, and actual control: identical physical effects can serve different intentions. It is the agent’s action toward its object, not an independently existing intermediary. The agent explains its productive origin; reasons explain its purpose without uniquely necessitating it. With intrinsic sameness retained, the contingent difference is assigned to this actual intentional relation. Merely acquiring the description Creator would supply none of that control or direction. Across alternatives, the contingent difference belongs to the complete fact of the agent acting toward an intended object; the intended creature does not produce the agent’s act.</w:t>
      </w:r>
    </w:p>
    <w:p>
      <w:pPr>
        <w:pStyle w:val="BodyText"/>
      </w:pPr>
      <w:r>
        <w:t xml:space="preserve">What follows if they hold?</w:t>
      </w:r>
    </w:p>
    <w:p>
      <w:pPr>
        <w:pStyle w:val="BodyText"/>
      </w:pPr>
      <w:r>
        <w:t xml:space="preserve">God’s determinate willing can be treated as a real action whose relational content differs, without creation supplying divine actuality. Explanation stops at rational voluntary agency.</w:t>
      </w:r>
    </w:p>
    <w:p>
      <w:pPr>
        <w:pStyle w:val="BodyText"/>
      </w:pPr>
      <w:r>
        <w:t xml:space="preserve">What remains to defend: The claim that real intentional direction involves no intrinsic difference is the disputed ontological addition. It must explain control rather than merely name an outcome. Noncomposition and the finite examples do not prove it; the intrinsic-intention rival remains open.</w:t>
      </w:r>
    </w:p>
    <w:p>
      <w:pPr>
        <w:pStyle w:val="BodyText"/>
      </w:pPr>
      <w:hyperlink r:id="rId112">
        <w:r>
          <w:rPr>
            <w:rStyle w:val="Hyperlink"/>
          </w:rPr>
          <w:t xml:space="preserve">The proposal and its rival</w:t>
        </w:r>
      </w:hyperlink>
      <w:r>
        <w:t xml:space="preserve"> </w:t>
      </w:r>
      <w:r>
        <w:t xml:space="preserve">·</w:t>
      </w:r>
      <w:r>
        <w:t xml:space="preserve"> </w:t>
      </w:r>
      <w:hyperlink r:id="rId146">
        <w:r>
          <w:rPr>
            <w:rStyle w:val="Hyperlink"/>
          </w:rPr>
          <w:t xml:space="preserve">Compare actions and outcomes</w:t>
        </w:r>
      </w:hyperlink>
      <w:r>
        <w:t xml:space="preserve"> </w:t>
      </w:r>
      <w:r>
        <w:t xml:space="preserve">·</w:t>
      </w:r>
      <w:r>
        <w:t xml:space="preserve"> </w:t>
      </w:r>
      <w:hyperlink r:id="rId147">
        <w:r>
          <w:rPr>
            <w:rStyle w:val="Hyperlink"/>
          </w:rPr>
          <w:t xml:space="preserve">Where the explanation stops</w:t>
        </w:r>
      </w:hyperlink>
    </w:p>
    <w:bookmarkEnd w:id="148"/>
    <w:bookmarkEnd w:id="149"/>
    <w:bookmarkStart w:id="153" w:name="X4899424abf8793e1bee93ae2e461d8518d9b3cc"/>
    <w:p>
      <w:pPr>
        <w:pStyle w:val="Heading3"/>
      </w:pPr>
      <w:r>
        <w:t xml:space="preserve">8. How could God know what he actually wills and does without learning it from creation?</w:t>
      </w:r>
    </w:p>
    <w:p>
      <w:pPr>
        <w:pStyle w:val="FirstParagraph"/>
      </w:pPr>
      <w:r>
        <w:t xml:space="preserve">Through knowledge of his own actual intelligent action, if that action and its effect are adequately disclosed to him. Knowing every possible plan is not yet knowing which action occurs. The proposal therefore adds warranted awareness of the actual action and its particular intention, understanding of its efficacy, and adequate grasp of what follows from those facts. On those conditions, the effect is known through the action producing it, rather than teaching God what happened.</w:t>
      </w:r>
    </w:p>
    <w:p>
      <w:pPr>
        <w:pStyle w:val="BodyText"/>
      </w:pPr>
      <w:r>
        <w:t xml:space="preserve">This accounts for effects adequately specified and disclosed in the productive intention. A permitted creaturely choice poses a further question: receiving power is not the same as God supplying that creature’s intention. The page therefore considers an additional proposal of direct, non-receptive cognitive presence to the actual choice. Its truth can require that the choice really occur without the choice supplying God’s cognitive actuality. Separating these relations removes a confusion; adequate cognitive access and, for future choices, an account of eternal knowledge still need their own defense.</w:t>
      </w:r>
    </w:p>
    <w:bookmarkStart w:id="152" w:name="X94278dda2be3640a3807ffc8b189f1861708295"/>
    <w:p>
      <w:pPr>
        <w:pStyle w:val="Heading4"/>
      </w:pPr>
      <w:r>
        <w:t xml:space="preserve">The premises behind this answer: Knowledge through one’s intelligent action</w:t>
      </w:r>
    </w:p>
    <w:p>
      <w:pPr>
        <w:pStyle w:val="FirstParagraph"/>
      </w:pPr>
      <w:r>
        <w:t xml:space="preserve">Adds awareness of actual action, adequate disclosure of its effect, and epistemic warrant. Non-receptive access and infallible efficacy are further divine commitments.</w:t>
      </w:r>
    </w:p>
    <w:p>
      <w:pPr>
        <w:pStyle w:val="BodyText"/>
      </w:pPr>
      <w:r>
        <w:t xml:space="preserve">Adopt these premises:</w:t>
      </w:r>
    </w:p>
    <w:p>
      <w:pPr>
        <w:pStyle w:val="Compact"/>
        <w:numPr>
          <w:ilvl w:val="0"/>
          <w:numId w:val="1012"/>
        </w:numPr>
      </w:pPr>
      <w:r>
        <w:t xml:space="preserve">The source has accurate awareness of its actual action and determinate intention, without receiving cognitive actuality from the effect. Knowing possible plans alone is insufficient.</w:t>
      </w:r>
    </w:p>
    <w:p>
      <w:pPr>
        <w:pStyle w:val="Compact"/>
        <w:numPr>
          <w:ilvl w:val="0"/>
          <w:numId w:val="1012"/>
        </w:numPr>
      </w:pPr>
      <w:r>
        <w:t xml:space="preserve">Its creative power infallibly realizes the intended content within the intention’s scope, and the source has adequately warranted awareness of that connection between actual execution and successful realization.</w:t>
      </w:r>
    </w:p>
    <w:p>
      <w:pPr>
        <w:pStyle w:val="Compact"/>
        <w:numPr>
          <w:ilvl w:val="0"/>
          <w:numId w:val="1012"/>
        </w:numPr>
      </w:pPr>
      <w:r>
        <w:t xml:space="preserve">The awareness has epistemic warrant through intelligent direction, competence, and adequate access, rather than lucky agreement with the outcome.</w:t>
      </w:r>
    </w:p>
    <w:p>
      <w:pPr>
        <w:pStyle w:val="Compact"/>
        <w:numPr>
          <w:ilvl w:val="0"/>
          <w:numId w:val="1012"/>
        </w:numPr>
      </w:pPr>
      <w:r>
        <w:t xml:space="preserve">The source adequately grasps that actual execution and infallible efficacy entail the intended effect. This need not be a temporal process of inference.</w:t>
      </w:r>
    </w:p>
    <w:p>
      <w:pPr>
        <w:pStyle w:val="FirstParagraph"/>
      </w:pPr>
      <w:r>
        <w:t xml:space="preserve">Why adopt them?</w:t>
      </w:r>
    </w:p>
    <w:p>
      <w:pPr>
        <w:pStyle w:val="BodyText"/>
      </w:pPr>
      <w:r>
        <w:t xml:space="preserve">An intention can guide production, rather than being inferred from the finished product. Awareness of actual execution, together with warranted knowledge of its efficacy, gives a positive route to knowing what is produced. The action explains the effect. Warranted awareness of actual execution and its assured efficacy, together with grasp of their implication, warrants the conclusion that the intended effect occurs. Truth depends on what actually happens without requiring the effect to actualize cognition. Dionysius’s causal knowledge and Aquinas’s knowing as cause joined to willing supply historical resources.</w:t>
      </w:r>
    </w:p>
    <w:p>
      <w:pPr>
        <w:pStyle w:val="BodyText"/>
      </w:pPr>
      <w:r>
        <w:t xml:space="preserve">What follows if they hold?</w:t>
      </w:r>
    </w:p>
    <w:p>
      <w:pPr>
        <w:pStyle w:val="BodyText"/>
      </w:pPr>
      <w:r>
        <w:t xml:space="preserve">On these premises, the source knows its creative action and disclosed effect without learning from that effect.</w:t>
      </w:r>
    </w:p>
    <w:p>
      <w:pPr>
        <w:pStyle w:val="BodyText"/>
      </w:pPr>
      <w:r>
        <w:t xml:space="preserve">What remains to defend: Non-receptive access, infallible efficacy, adequate disclosure, and warrant are additional premises. Extending the account to permitted secondary choices requires a further cognitive relation to their actual exercise. Extending it to future contingents also requires an account of eternity or another defended basis of foreknowledge; neither follows from causal presence alone.</w:t>
      </w:r>
    </w:p>
    <w:p>
      <w:pPr>
        <w:pStyle w:val="BodyText"/>
      </w:pPr>
      <w:hyperlink r:id="rId150">
        <w:r>
          <w:rPr>
            <w:rStyle w:val="Hyperlink"/>
          </w:rPr>
          <w:t xml:space="preserve">Knowledge and its limits</w:t>
        </w:r>
      </w:hyperlink>
      <w:r>
        <w:t xml:space="preserve"> </w:t>
      </w:r>
      <w:r>
        <w:t xml:space="preserve">·</w:t>
      </w:r>
      <w:r>
        <w:t xml:space="preserve"> </w:t>
      </w:r>
      <w:hyperlink r:id="rId151">
        <w:r>
          <w:rPr>
            <w:rStyle w:val="Hyperlink"/>
          </w:rPr>
          <w:t xml:space="preserve">The separate epistemic premises</w:t>
        </w:r>
      </w:hyperlink>
    </w:p>
    <w:bookmarkEnd w:id="152"/>
    <w:bookmarkEnd w:id="153"/>
    <w:bookmarkStart w:id="157" w:name="X88a2671390d5dfe512733dc07a69d7cdf582295"/>
    <w:p>
      <w:pPr>
        <w:pStyle w:val="Heading3"/>
      </w:pPr>
      <w:r>
        <w:t xml:space="preserve">9. If creation supplies nothing God needs, why do finite creatures and their histories matter?</w:t>
      </w:r>
    </w:p>
    <w:p>
      <w:pPr>
        <w:pStyle w:val="FirstParagraph"/>
      </w:pPr>
      <w:r>
        <w:t xml:space="preserve">Because received reality and goodness remain real. Some finite conditions constitute particular goods: succession belongs to a melody; distinct speakers belong to conversation; a history allows a promise to be kept. Removing these conditions abolishes that particular good rather than perfecting it. By contrast, removing ignorance improves understanding. A third case is a good response to adversity: courage can be good in danger without making danger good. The test asks what the condition contributes, rather than treating every finite limit alike.</w:t>
      </w:r>
    </w:p>
    <w:p>
      <w:pPr>
        <w:pStyle w:val="BodyText"/>
      </w:pPr>
      <w:r>
        <w:t xml:space="preserve">Source independence therefore leaves creaturely achievement meaningful and creaturely harm serious. A friendship can begin without supplying God with a missing perfection; its good belongs truly to the friends. Communion adds knowing and loving to dependence and preserves the persons who enter it. Christian revelation identifies its promised consummation through Christ. Creation is fulfilled in God; it does not supply the final installment of divine completion. That claim neither justifies every injury nor turns all limitations into defects to be erased.</w:t>
      </w:r>
    </w:p>
    <w:bookmarkStart w:id="156" w:name="X2934248c641eff8d7b5877b4fc1e6227ec8945d"/>
    <w:p>
      <w:pPr>
        <w:pStyle w:val="Heading4"/>
      </w:pPr>
      <w:r>
        <w:t xml:space="preserve">The premises behind this answer: Goods constituted by finite organization</w:t>
      </w:r>
    </w:p>
    <w:p>
      <w:pPr>
        <w:pStyle w:val="FirstParagraph"/>
      </w:pPr>
      <w:r>
        <w:t xml:space="preserve">Adds a defended account of particular finite goods to the inherited causal and source principles.</w:t>
      </w:r>
    </w:p>
    <w:p>
      <w:pPr>
        <w:pStyle w:val="BodyText"/>
      </w:pPr>
      <w:r>
        <w:t xml:space="preserve">Adopt these premises:</w:t>
      </w:r>
    </w:p>
    <w:p>
      <w:pPr>
        <w:pStyle w:val="Compact"/>
        <w:numPr>
          <w:ilvl w:val="0"/>
          <w:numId w:val="1013"/>
        </w:numPr>
      </w:pPr>
      <w:r>
        <w:t xml:space="preserve">Realized goods have intelligible standards appropriate to their kind: proportion in a melody, mutual understanding in conversation, or faithful concern in friendship.</w:t>
      </w:r>
    </w:p>
    <w:p>
      <w:pPr>
        <w:pStyle w:val="Compact"/>
        <w:numPr>
          <w:ilvl w:val="0"/>
          <w:numId w:val="1013"/>
        </w:numPr>
      </w:pPr>
      <w:r>
        <w:t xml:space="preserve">Some such goods require succession, proportion, distinct persons, or a particular history.</w:t>
      </w:r>
    </w:p>
    <w:p>
      <w:pPr>
        <w:pStyle w:val="Compact"/>
        <w:numPr>
          <w:ilvl w:val="0"/>
          <w:numId w:val="1013"/>
        </w:numPr>
      </w:pPr>
      <w:r>
        <w:t xml:space="preserve">God can ground their actuality and positive content without possessing their finite constitutive form or receiving completion from them.</w:t>
      </w:r>
    </w:p>
    <w:p>
      <w:pPr>
        <w:pStyle w:val="FirstParagraph"/>
      </w:pPr>
      <w:r>
        <w:t xml:space="preserve">Why adopt them?</w:t>
      </w:r>
    </w:p>
    <w:p>
      <w:pPr>
        <w:pStyle w:val="BodyText"/>
      </w:pPr>
      <w:r>
        <w:t xml:space="preserve">A melody loses its particular good if its ordered sequence becomes an undifferentiated instant; conversation loses dialogue if distinct speakers collapse into one. Finite conditions can therefore partly constitute a good instead of merely subtracting quantity from it. Augustine’s passing words and Bonaventure’s proportion illuminate this role of organization. Those standards can be assessed independently of whether God causes the example. Corresponding goodness need not exist in God as that same melody or conversation: causal adequacy preserves positive content with difference of mode.</w:t>
      </w:r>
    </w:p>
    <w:p>
      <w:pPr>
        <w:pStyle w:val="BodyText"/>
      </w:pPr>
      <w:r>
        <w:t xml:space="preserve">Ask whether removing a condition perfects the same good, abolishes that kind of good, or removes an adversity to which the good was a response. This distinguishes ignorance, musical succession, and danger. The goodness of courage or healing gives no permission to manufacture threats or illness.</w:t>
      </w:r>
    </w:p>
    <w:p>
      <w:pPr>
        <w:pStyle w:val="BodyText"/>
      </w:pPr>
      <w:r>
        <w:t xml:space="preserve">What follows if they hold?</w:t>
      </w:r>
    </w:p>
    <w:p>
      <w:pPr>
        <w:pStyle w:val="BodyText"/>
      </w:pPr>
      <w:r>
        <w:t xml:space="preserve">Created histories can contain genuinely new goods for creatures without improving God. Their particularity explains why this friendship or response matters.</w:t>
      </w:r>
    </w:p>
    <w:p>
      <w:pPr>
        <w:pStyle w:val="BodyText"/>
      </w:pPr>
      <w:r>
        <w:t xml:space="preserve">What remains to defend: Particular goods need their own evaluative defense. This does not make every limitation good, justify injury, or establish a complete theodicy.</w:t>
      </w:r>
    </w:p>
    <w:p>
      <w:pPr>
        <w:pStyle w:val="BodyText"/>
      </w:pPr>
      <w:hyperlink r:id="rId154">
        <w:r>
          <w:rPr>
            <w:rStyle w:val="Hyperlink"/>
          </w:rPr>
          <w:t xml:space="preserve">How finite measure can constitute a good</w:t>
        </w:r>
      </w:hyperlink>
      <w:r>
        <w:t xml:space="preserve"> </w:t>
      </w:r>
      <w:r>
        <w:t xml:space="preserve">·</w:t>
      </w:r>
      <w:r>
        <w:t xml:space="preserve"> </w:t>
      </w:r>
      <w:hyperlink r:id="rId155">
        <w:r>
          <w:rPr>
            <w:rStyle w:val="Hyperlink"/>
          </w:rPr>
          <w:t xml:space="preserve">Ratzinger, Augustine, and Bonaventure</w:t>
        </w:r>
      </w:hyperlink>
    </w:p>
    <w:p>
      <w:r>
        <w:pict>
          <v:rect style="width:0;height:1.5pt" o:hralign="center" o:hrstd="t" o:hr="t"/>
        </w:pict>
      </w:r>
    </w:p>
    <w:bookmarkEnd w:id="156"/>
    <w:bookmarkEnd w:id="157"/>
    <w:bookmarkEnd w:id="158"/>
    <w:bookmarkEnd w:id="159"/>
    <w:bookmarkStart w:id="192" w:name="reality-determination-and-relation"/>
    <w:p>
      <w:pPr>
        <w:pStyle w:val="Heading1"/>
      </w:pPr>
      <w:r>
        <w:t xml:space="preserve">4. Reality, Determination, and Relation</w:t>
      </w:r>
    </w:p>
    <w:p>
      <w:pPr>
        <w:pStyle w:val="FirstParagraph"/>
      </w:pPr>
      <w:r>
        <w:t xml:space="preserve">When descriptions differ, what must differ in reality, and when does a real difference imply composition or dependence?</w:t>
      </w:r>
    </w:p>
    <w:p>
      <w:pPr>
        <w:pStyle w:val="BodyText"/>
      </w:pPr>
      <w:r>
        <w:t xml:space="preserve">A difference in meaning is not automatically a difference between things. A real difference is not automatically a division into parts. Yet differences cannot be dismissed merely because one wants a unified reality. The task is to identify what each claim requires: another object, another constituent, a relation, a different exercise, or a distinct way of understanding one reality.</w:t>
      </w:r>
    </w:p>
    <w:p>
      <w:pPr>
        <w:pStyle w:val="BodyText"/>
      </w:pPr>
      <w:r>
        <w:t xml:space="preserve">This page supplies the atlas with a disciplined vocabulary. It does not derive the whole system from a chosen first word. Actuality, identity, determination, constitution, explanation, and relation mark questions that must remain distinguishable until an argument establishes their reduction. Their usefulness is demonstrated by the errors they prevent and the explanations they enable.</w:t>
      </w:r>
    </w:p>
    <w:bookmarkStart w:id="163" w:name="what-this-page-uses"/>
    <w:p>
      <w:pPr>
        <w:pStyle w:val="Heading2"/>
      </w:pPr>
      <w:r>
        <w:t xml:space="preserve">What this page uses</w:t>
      </w:r>
    </w:p>
    <w:p>
      <w:pPr>
        <w:pStyle w:val="Compact"/>
        <w:numPr>
          <w:ilvl w:val="0"/>
          <w:numId w:val="1014"/>
        </w:numPr>
      </w:pPr>
      <w:hyperlink r:id="rId160">
        <w:r>
          <w:rPr>
            <w:rStyle w:val="Hyperlink"/>
          </w:rPr>
          <w:t xml:space="preserve">Participation</w:t>
        </w:r>
      </w:hyperlink>
      <w:r>
        <w:t xml:space="preserve">: Received actuality is genuinely the participant’s own; this page examines the identity and constitution of that participant.</w:t>
      </w:r>
    </w:p>
    <w:p>
      <w:pPr>
        <w:pStyle w:val="Compact"/>
        <w:numPr>
          <w:ilvl w:val="0"/>
          <w:numId w:val="1014"/>
        </w:numPr>
      </w:pPr>
      <w:hyperlink r:id="rId161">
        <w:r>
          <w:rPr>
            <w:rStyle w:val="Hyperlink"/>
          </w:rPr>
          <w:t xml:space="preserve">Beyond Participation</w:t>
        </w:r>
      </w:hyperlink>
      <w:r>
        <w:t xml:space="preserve">: Its simplicity arguments require a careful distinction between real difference and dependence-making composition.</w:t>
      </w:r>
    </w:p>
    <w:p>
      <w:pPr>
        <w:pStyle w:val="Compact"/>
        <w:numPr>
          <w:ilvl w:val="0"/>
          <w:numId w:val="1014"/>
        </w:numPr>
      </w:pPr>
      <w:hyperlink r:id="rId162">
        <w:r>
          <w:rPr>
            <w:rStyle w:val="Hyperlink"/>
          </w:rPr>
          <w:t xml:space="preserve">Divine Agency</w:t>
        </w:r>
      </w:hyperlink>
      <w:r>
        <w:t xml:space="preserve">: Different possible actions require a determinate explanation without an automatic inference to additional intrinsic constituents.</w:t>
      </w:r>
    </w:p>
    <w:bookmarkEnd w:id="163"/>
    <w:bookmarkStart w:id="164" w:name="what-it-undertakes-to-establish"/>
    <w:p>
      <w:pPr>
        <w:pStyle w:val="Heading2"/>
      </w:pPr>
      <w:r>
        <w:t xml:space="preserve">What it undertakes to establish</w:t>
      </w:r>
    </w:p>
    <w:p>
      <w:pPr>
        <w:pStyle w:val="Compact"/>
        <w:numPr>
          <w:ilvl w:val="0"/>
          <w:numId w:val="1015"/>
        </w:numPr>
      </w:pPr>
      <w:r>
        <w:t xml:space="preserve">Differences of description, reality, and constitution require different arguments.</w:t>
      </w:r>
    </w:p>
    <w:p>
      <w:pPr>
        <w:pStyle w:val="Compact"/>
        <w:numPr>
          <w:ilvl w:val="0"/>
          <w:numId w:val="1015"/>
        </w:numPr>
      </w:pPr>
      <w:r>
        <w:t xml:space="preserve">Explanatory dependence, productive causation, constitution, and relational predication cannot substitute for one another without a bridge.</w:t>
      </w:r>
    </w:p>
    <w:p>
      <w:pPr>
        <w:pStyle w:val="Compact"/>
        <w:numPr>
          <w:ilvl w:val="0"/>
          <w:numId w:val="1015"/>
        </w:numPr>
      </w:pPr>
      <w:r>
        <w:t xml:space="preserve">Nature and person answer distinguishable questions whose theological use must respect revealed commitments.</w:t>
      </w:r>
    </w:p>
    <w:bookmarkEnd w:id="164"/>
    <w:bookmarkStart w:id="165" w:name="X3cc3a653d8ace365c93f993db0974c8fde96d75"/>
    <w:p>
      <w:pPr>
        <w:pStyle w:val="Heading2"/>
      </w:pPr>
      <w:r>
        <w:t xml:space="preserve">Actuality says that; determination says how</w:t>
      </w:r>
    </w:p>
    <w:p>
      <w:pPr>
        <w:pStyle w:val="FirstParagraph"/>
      </w:pPr>
      <w:r>
        <w:t xml:space="preserve">Status: Philosophical clarification.</w:t>
      </w:r>
    </w:p>
    <w:p>
      <w:pPr>
        <w:pStyle w:val="BodyText"/>
      </w:pPr>
      <w:r>
        <w:t xml:space="preserve">Actuality means that something genuinely is so: an organism lives, an event occurs, a relation holds, a judgment is true. These grammatical differences matter. Saying that a promise exists need not make the promise a substance alongside the speaker. The shared contrast is with what is merely possible, imagined, or falsely asserted. This is a starting distinction for inquiry, not a proof that all reality belongs to one ontological category.</w:t>
      </w:r>
    </w:p>
    <w:p>
      <w:pPr>
        <w:pStyle w:val="BodyText"/>
      </w:pPr>
      <w:r>
        <w:t xml:space="preserve">Determination articulates how something is so. This patient is awake; this promise binds these people; this act concerns this end. A concrete reality is never first a blank and only afterward determinate in every respect. The distinction is analytical. It also separates truth from knowledge: the patient’s condition can measure a diagnosis before the physician discovers it, although further evidence is required to establish what that condition is.</w:t>
      </w:r>
    </w:p>
    <w:bookmarkEnd w:id="165"/>
    <w:bookmarkStart w:id="166" w:name="identity-predication-and-counting"/>
    <w:p>
      <w:pPr>
        <w:pStyle w:val="Heading2"/>
      </w:pPr>
      <w:r>
        <w:t xml:space="preserve">Identity, predication, and counting</w:t>
      </w:r>
    </w:p>
    <w:p>
      <w:pPr>
        <w:pStyle w:val="FirstParagraph"/>
      </w:pPr>
      <w:r>
        <w:t xml:space="preserve">Status: Philosophical distinctions; Trinitarian application.</w:t>
      </w:r>
    </w:p>
    <w:p>
      <w:pPr>
        <w:pStyle w:val="BodyText"/>
      </w:pPr>
      <w:r>
        <w:t xml:space="preserve">Numerical identity concerns one and the same thing and remains transitive: if A = B and B = C, then A = C. Qualitative similarity concerns agreement in some feature. Two printed copies can contain the same words without being the same book token. One person can remain the same person while changing knowledge, clothing, or location. What we predicate or count needs a stated respect; the ordinary rules of identity do not change with that respect.</w:t>
      </w:r>
    </w:p>
    <w:p>
      <w:pPr>
        <w:pStyle w:val="BodyText"/>
      </w:pPr>
      <w:r>
        <w:t xml:space="preserve">Contradiction requires incompatible claims about the same subject in the same respect. A physician can be knowledgeable about anatomy and ignorant about a patient’s present condition without contradiction. Anatomy and this patient’s condition are different objects of knowledge. The distinction identifies what the claims concern rather than changing the meaning of identity.</w:t>
      </w:r>
    </w:p>
    <w:p>
      <w:pPr>
        <w:pStyle w:val="BodyText"/>
      </w:pPr>
      <w:r>
        <w:t xml:space="preserve">Consider the Trinity. Simplicity excludes constituents through which God’s actuality is assembled or received. Catholic faith confesses three really distinct Persons, each wholly the one undivided God. Real distinction would contradict simplicity if it required constituents that together make God actual. The classical claim is that opposed relations of origin distinguish the Persons without performing that constituting work (CCC 253–255).</w:t>
      </w:r>
    </w:p>
    <w:p>
      <w:pPr>
        <w:pStyle w:val="BodyText"/>
      </w:pPr>
      <w:r>
        <w:t xml:space="preserve">A relation can constitute who a Person is without being a component from which divine being is made. Paternity identifies the Father; filiation identifies the Son. Neither is an added property completing a prior divine subject. On the account of subsisting relations, their real opposition distinguishes personal subsistence within the same undivided divine actuality. If that account holds, personal distinction introduces no assembly of deity. Calling each Person wholly God must preserve this undivided deity without turning the statements into ordinary identity equations that identify the Father with the Son.</w:t>
      </w:r>
    </w:p>
    <w:bookmarkEnd w:id="166"/>
    <w:bookmarkStart w:id="168" w:name="X8c8454dcbd14bac935ba6dd80f01793944e9af1"/>
    <w:p>
      <w:pPr>
        <w:pStyle w:val="Heading2"/>
      </w:pPr>
      <w:r>
        <w:t xml:space="preserve">Different meanings need not require additional constituents</w:t>
      </w:r>
    </w:p>
    <w:p>
      <w:pPr>
        <w:pStyle w:val="FirstParagraph"/>
      </w:pPr>
      <w:r>
        <w:t xml:space="preserve">Status: Philosophical argument; limited compatibility result.</w:t>
      </w:r>
    </w:p>
    <w:p>
      <w:pPr>
        <w:pStyle w:val="BodyText"/>
      </w:pPr>
      <w:r>
        <w:t xml:space="preserve">Consider a circular surface. Its area and circumference answer different questions, although both follow from the same size and geometry. Distinct intelligible contents need not require independent additions to the object for every description. Conversely, calling something both hot and cold in the same respect cannot be saved by saying that one reality realizes many meanings. Compatibility must be established before common realization can explain anything.</w:t>
      </w:r>
    </w:p>
    <w:p>
      <w:pPr>
        <w:pStyle w:val="BodyText"/>
      </w:pPr>
      <w:r>
        <w:t xml:space="preserve">This distinction opens space for a positive account of divine names. Wisdom and power need not be synonyms for their possession to belong to one undivided actuality. But the geometrical example proves no divine identity theorem. It defeats a general inference from different meanings to different constituents. An argument that God’s wisdom and power really are one actuality still needs premises about the source and the perfections attributed to it.</w:t>
      </w:r>
    </w:p>
    <w:bookmarkStart w:id="167" w:name="Xd56e84daa40fc8b86ceb9618319002daed7e9d9"/>
    <w:p>
      <w:pPr>
        <w:pStyle w:val="Heading3"/>
      </w:pPr>
      <w:r>
        <w:t xml:space="preserve">From distinct content to the question of realization</w:t>
      </w:r>
    </w:p>
    <w:p>
      <w:pPr>
        <w:pStyle w:val="FirstParagraph"/>
      </w:pPr>
      <w:r>
        <w:t xml:space="preserve">A restriction on an inference, not a universal theory of properties.</w:t>
      </w:r>
    </w:p>
    <w:p>
      <w:pPr>
        <w:pStyle w:val="BodyText"/>
      </w:pPr>
      <w:r>
        <w:t xml:space="preserve">Indispensable premises:</w:t>
      </w:r>
    </w:p>
    <w:p>
      <w:pPr>
        <w:pStyle w:val="Compact"/>
        <w:numPr>
          <w:ilvl w:val="0"/>
          <w:numId w:val="1016"/>
        </w:numPr>
      </w:pPr>
      <w:r>
        <w:t xml:space="preserve">Two descriptions can have different meanings while being jointly true of one subject.</w:t>
      </w:r>
    </w:p>
    <w:p>
      <w:pPr>
        <w:pStyle w:val="Compact"/>
        <w:numPr>
          <w:ilvl w:val="0"/>
          <w:numId w:val="1016"/>
        </w:numPr>
      </w:pPr>
      <w:r>
        <w:t xml:space="preserve">Their truth can sometimes follow from the same relevant intrinsic condition rather than independently supplied constituents.</w:t>
      </w:r>
    </w:p>
    <w:p>
      <w:pPr>
        <w:pStyle w:val="FirstParagraph"/>
      </w:pPr>
      <w:r>
        <w:t xml:space="preserve">Why accept the passage?</w:t>
      </w:r>
    </w:p>
    <w:p>
      <w:pPr>
        <w:pStyle w:val="BodyText"/>
      </w:pPr>
      <w:r>
        <w:t xml:space="preserve">A circular surface’s area and circumference vary together under a single radius and geometry. This supplies a counterexample to the universal claim that every difference in content requires a separately added intrinsic constituent. A rival property ontology may still posit distinct properties; the example does not settle that broader debate.</w:t>
      </w:r>
    </w:p>
    <w:p>
      <w:pPr>
        <w:pStyle w:val="BodyText"/>
      </w:pPr>
      <w:r>
        <w:t xml:space="preserve">What follows?</w:t>
      </w:r>
    </w:p>
    <w:p>
      <w:pPr>
        <w:pStyle w:val="BodyText"/>
      </w:pPr>
      <w:r>
        <w:t xml:space="preserve">A distinction of meanings alone does not establish constituent plurality. The explanatory work must identify what makes each claim true.</w:t>
      </w:r>
    </w:p>
    <w:p>
      <w:pPr>
        <w:pStyle w:val="BodyText"/>
      </w:pPr>
      <w:r>
        <w:t xml:space="preserve">Remaining burden: This does not show that all compatible predicates have an identical realizer, or that divine attributes are identical.</w:t>
      </w:r>
    </w:p>
    <w:bookmarkEnd w:id="167"/>
    <w:bookmarkEnd w:id="168"/>
    <w:bookmarkStart w:id="169" w:name="a-whole-needs-an-account-of-its-unity"/>
    <w:p>
      <w:pPr>
        <w:pStyle w:val="Heading2"/>
      </w:pPr>
      <w:r>
        <w:t xml:space="preserve">A whole needs an account of its unity</w:t>
      </w:r>
    </w:p>
    <w:p>
      <w:pPr>
        <w:pStyle w:val="FirstParagraph"/>
      </w:pPr>
      <w:r>
        <w:t xml:space="preserve">Status: Philosophical argument; competing accounts remain.</w:t>
      </w:r>
    </w:p>
    <w:p>
      <w:pPr>
        <w:pStyle w:val="BodyText"/>
      </w:pPr>
      <w:r>
        <w:t xml:space="preserve">Constitution concerns what makes up or internally actualizes a reality. Productive causation concerns bringing about or sustaining an effect. A carpenter produces a table without becoming its timber. Timber constitutes the table without being its carpenter. An account can connect these relations, but neither word already includes the other’s explanation. The distinction becomes decisive when divine presence is mistaken for a material ingredient in creatures.</w:t>
      </w:r>
    </w:p>
    <w:p>
      <w:pPr>
        <w:pStyle w:val="BodyText"/>
      </w:pPr>
      <w:r>
        <w:t xml:space="preserve">Unity also comes in kinds. A pile is one collection; a living organism integrates processes in the maintenance of one life. Calling both one does not explain their organization. A substantive account asks what coordinates the parts, maintains the whole, and distinguishes successful functioning from disintegration. This makes form and nature available as explanatory tools without presuming that one particular account of substantial form has already defeated every alternative.</w:t>
      </w:r>
    </w:p>
    <w:bookmarkEnd w:id="169"/>
    <w:bookmarkStart w:id="170" w:name="not-every-because-has-the-same-direction"/>
    <w:p>
      <w:pPr>
        <w:pStyle w:val="Heading2"/>
      </w:pPr>
      <w:r>
        <w:t xml:space="preserve">Not every because has the same direction</w:t>
      </w:r>
    </w:p>
    <w:p>
      <w:pPr>
        <w:pStyle w:val="FirstParagraph"/>
      </w:pPr>
      <w:r>
        <w:t xml:space="preserve">Status: Philosophical argument.</w:t>
      </w:r>
    </w:p>
    <w:p>
      <w:pPr>
        <w:pStyle w:val="BodyText"/>
      </w:pPr>
      <w:r>
        <w:t xml:space="preserve">A patient improves because treatment works; a diagnosis is warranted because evidence supports it; a report is true because the patient has the reported condition. Production, evidence, and truth are different relations. Successful treatment does not by itself warrant every theory about its mechanism. A confident report does not produce the condition it correctly describes. Distinguishing these arrows lets inquiry connect reality and knowledge without making one silently perform the other’s work.</w:t>
      </w:r>
    </w:p>
    <w:p>
      <w:pPr>
        <w:pStyle w:val="BodyText"/>
      </w:pPr>
      <w:r>
        <w:t xml:space="preserve">Dependence is correspondingly incomplete until its respect is stated. A child depends on parents for conception and care, but a parent’s failure to recognize the child does not erase the child’s dignity. Underivation, when argued for the ultimate source, excludes receiving the actuality by which that source is ultimate. It is not self-production: making oneself would already require the maker whose origin was supposedly being explained.</w:t>
      </w:r>
    </w:p>
    <w:bookmarkEnd w:id="170"/>
    <w:bookmarkStart w:id="172" w:name="X98fdcc29d7c853d1a05383d621597e09c5a3af6"/>
    <w:p>
      <w:pPr>
        <w:pStyle w:val="Heading2"/>
      </w:pPr>
      <w:r>
        <w:t xml:space="preserve">Relations can be objective without rebuilding both relata</w:t>
      </w:r>
    </w:p>
    <w:p>
      <w:pPr>
        <w:pStyle w:val="FirstParagraph"/>
      </w:pPr>
      <w:r>
        <w:t xml:space="preserve">Status: Philosophical argument; conditional theological application.</w:t>
      </w:r>
    </w:p>
    <w:p>
      <w:pPr>
        <w:pStyle w:val="BodyText"/>
      </w:pPr>
      <w:r>
        <w:t xml:space="preserve">Suppose a tree grows taller than a nearby pillar. The pillar acquires a new true relational description without becoming shorter intrinsically. The comparison is objective because it depends on actual heights, not on a spectator’s preference. This shows that a difference concerning something need not always be an intrinsic modification of it. It does not show that every relation is extrinsic, or that every apparent relationship has the same ontological status.</w:t>
      </w:r>
    </w:p>
    <w:p>
      <w:pPr>
        <w:pStyle w:val="BodyText"/>
      </w:pPr>
      <w:r>
        <w:t xml:space="preserve">Promises, friendship, kinship, and divine personal origin demand further analysis. Their norms or identities are not captured by height comparison. The classical mixed Creator-creature relation similarly requires its own bridge: the creature really receives its actuality from God, while God receives no completion from the creature. The pillar example only blocks an automatic reciprocity principle. It does not establish the metaphysics of creation by analogy alone.</w:t>
      </w:r>
    </w:p>
    <w:bookmarkStart w:id="171" w:name="X61427d3a89c576b2f9ebddab0e2eef10443b665"/>
    <w:p>
      <w:pPr>
        <w:pStyle w:val="Heading3"/>
      </w:pPr>
      <w:r>
        <w:t xml:space="preserve">Relational difference does not automatically imply reciprocal intrinsic change</w:t>
      </w:r>
    </w:p>
    <w:p>
      <w:pPr>
        <w:pStyle w:val="FirstParagraph"/>
      </w:pPr>
      <w:r>
        <w:t xml:space="preserve">A general compatibility result followed by a conditional application to creation.</w:t>
      </w:r>
    </w:p>
    <w:p>
      <w:pPr>
        <w:pStyle w:val="BodyText"/>
      </w:pPr>
      <w:r>
        <w:t xml:space="preserve">Indispensable premises:</w:t>
      </w:r>
    </w:p>
    <w:p>
      <w:pPr>
        <w:pStyle w:val="Compact"/>
        <w:numPr>
          <w:ilvl w:val="0"/>
          <w:numId w:val="1017"/>
        </w:numPr>
      </w:pPr>
      <w:r>
        <w:t xml:space="preserve">Some relational predicates are fixed by the actual condition of more than one relatum.</w:t>
      </w:r>
    </w:p>
    <w:p>
      <w:pPr>
        <w:pStyle w:val="Compact"/>
        <w:numPr>
          <w:ilvl w:val="0"/>
          <w:numId w:val="1017"/>
        </w:numPr>
      </w:pPr>
      <w:r>
        <w:t xml:space="preserve">One relatum can change that condition while the other’s relevant intrinsic features remain constant.</w:t>
      </w:r>
    </w:p>
    <w:p>
      <w:pPr>
        <w:pStyle w:val="FirstParagraph"/>
      </w:pPr>
      <w:r>
        <w:t xml:space="preserve">Why accept the passage?</w:t>
      </w:r>
    </w:p>
    <w:p>
      <w:pPr>
        <w:pStyle w:val="BodyText"/>
      </w:pPr>
      <w:r>
        <w:t xml:space="preserve">Changes in relative height supply an ordinary coherent instance. A rival may treat special relations as intrinsically constitutive, but cannot infer that status merely from the presence of relational language. Creation requires an additional non-receptive source argument.</w:t>
      </w:r>
    </w:p>
    <w:p>
      <w:pPr>
        <w:pStyle w:val="BodyText"/>
      </w:pPr>
      <w:r>
        <w:t xml:space="preserve">What follows?</w:t>
      </w:r>
    </w:p>
    <w:p>
      <w:pPr>
        <w:pStyle w:val="BodyText"/>
      </w:pPr>
      <w:r>
        <w:t xml:space="preserve">A new true relational description does not by itself establish an additional intrinsic constituent or acquired perfection in its subject.</w:t>
      </w:r>
    </w:p>
    <w:p>
      <w:pPr>
        <w:pStyle w:val="BodyText"/>
      </w:pPr>
      <w:r>
        <w:t xml:space="preserve">Remaining burden: The result does not prove that divine willing, knowledge, or personal relations are merely extrinsic descriptions.</w:t>
      </w:r>
    </w:p>
    <w:bookmarkEnd w:id="171"/>
    <w:bookmarkEnd w:id="172"/>
    <w:bookmarkStart w:id="173" w:name="Xbcf0b5a748e5e2db2e449ea862a1db6c41a96ae"/>
    <w:p>
      <w:pPr>
        <w:pStyle w:val="Heading2"/>
      </w:pPr>
      <w:r>
        <w:t xml:space="preserve">Nature and person answer different questions</w:t>
      </w:r>
    </w:p>
    <w:p>
      <w:pPr>
        <w:pStyle w:val="FirstParagraph"/>
      </w:pPr>
      <w:r>
        <w:t xml:space="preserve">Status: Philosophical clarification with doctrinal boundaries.</w:t>
      </w:r>
    </w:p>
    <w:p>
      <w:pPr>
        <w:pStyle w:val="BodyText"/>
      </w:pPr>
      <w:r>
        <w:t xml:space="preserve">Nature asks what kind of reality this is and what powers and activities belong to it. Person identifies the concrete who whose life and acts these are. A human being’s humanity is not a second agent standing behind the person. Nor does the person’s worth disappear whenever a characteristic activity cannot currently be exercised. Sleeping, severe disability, and dependence on care do not turn the human subject into a replaceable instrument.</w:t>
      </w:r>
    </w:p>
    <w:p>
      <w:pPr>
        <w:pStyle w:val="BodyText"/>
      </w:pPr>
      <w:r>
        <w:t xml:space="preserve">Theological uses require further precision. The Catechism distinguishes one divine nature and three Persons, and confesses one person of Christ in two natures. These are revealed commitments, not conclusions extracted from ordinary human counting. They require us to distinguish who from what without treating divine Persons as three instances of a species, or Christ’s two natures as two competing personal subjects. The grammar receives these claims; it does not generate them.</w:t>
      </w:r>
    </w:p>
    <w:bookmarkEnd w:id="173"/>
    <w:bookmarkStart w:id="174" w:name="X70eea8de02714d03c602c8050edfd05b3d037dc"/>
    <w:p>
      <w:pPr>
        <w:pStyle w:val="Heading2"/>
      </w:pPr>
      <w:r>
        <w:t xml:space="preserve">Determinate does not mean determined by another</w:t>
      </w:r>
    </w:p>
    <w:p>
      <w:pPr>
        <w:pStyle w:val="FirstParagraph"/>
      </w:pPr>
      <w:r>
        <w:t xml:space="preserve">Status: Constructive synthesis; conditional on the source arguments.</w:t>
      </w:r>
    </w:p>
    <w:p>
      <w:pPr>
        <w:pStyle w:val="BodyText"/>
      </w:pPr>
      <w:r>
        <w:t xml:space="preserve">An absolutely underived source, if established, need not be an indeterminate blank. Underivation denies receiving the actuality by which it is what it is; it does not deny intelligible character. Positive wisdom, goodness, and agency still require their own warrants. The resulting distinction is useful: being determinate is not identical with being actualized, constituted, or completed by a more basic differentiator.</w:t>
      </w:r>
    </w:p>
    <w:p>
      <w:pPr>
        <w:pStyle w:val="BodyText"/>
      </w:pPr>
      <w:r>
        <w:t xml:space="preserve">This is an organizing distinction, not a seventh proof of simplicity. Essential names, personal relations of origin, and freely directed outward action raise different questions. The Son’s eternal origin cannot be redescribed as creaturely dependence, and a determinate free act cannot be explained merely by naming its effect. The positive aim is unreceived fullness that really communicates, together with creatures whose received life becomes genuinely their own.</w:t>
      </w:r>
    </w:p>
    <w:bookmarkEnd w:id="174"/>
    <w:bookmarkStart w:id="183" w:name="core-questions-and-answers"/>
    <w:p>
      <w:pPr>
        <w:pStyle w:val="Heading2"/>
      </w:pPr>
      <w:r>
        <w:t xml:space="preserve">Core questions and answers</w:t>
      </w:r>
    </w:p>
    <w:bookmarkStart w:id="175" w:name="X9b9e9fa1906d8640cf92dfb93ebb211d1714bc1"/>
    <w:p>
      <w:pPr>
        <w:pStyle w:val="Heading3"/>
      </w:pPr>
      <w:r>
        <w:t xml:space="preserve">Does a real distinction always mean that something has parts?</w:t>
      </w:r>
    </w:p>
    <w:p>
      <w:pPr>
        <w:pStyle w:val="FirstParagraph"/>
      </w:pPr>
      <w:r>
        <w:t xml:space="preserve">No such universal inference has been established. Distinct objects, intrinsic constituents, relations, activities, and intelligible aspects need not all be parts in the same sense. Composition is a substantive explanatory claim: the proposed elements help constitute the actuality or unity of a whole. It must be shown in the case under discussion.</w:t>
      </w:r>
    </w:p>
    <w:p>
      <w:pPr>
        <w:pStyle w:val="BodyText"/>
      </w:pPr>
      <w:r>
        <w:t xml:space="preserve">This does not make every distinction harmless to simplicity. A putatively non-compositional distinction may still introduce dependence, incompatible actuality, or an unexplained intrinsic plurality. The right test asks what the distinction requires and what explanatory role it performs. Trinitarian personal distinction has its own revealed warrant and must not be dissolved into mere terminology.</w:t>
      </w:r>
    </w:p>
    <w:bookmarkEnd w:id="175"/>
    <w:bookmarkStart w:id="177" w:name="a-constitution-argument-is-required"/>
    <w:p>
      <w:pPr>
        <w:pStyle w:val="Heading3"/>
      </w:pPr>
      <w:r>
        <w:t xml:space="preserve">A constitution argument is required</w:t>
      </w:r>
    </w:p>
    <w:p>
      <w:pPr>
        <w:pStyle w:val="FirstParagraph"/>
      </w:pPr>
      <w:r>
        <w:t xml:space="preserve">A methodological restriction on simplicity arguments.</w:t>
      </w:r>
    </w:p>
    <w:p>
      <w:pPr>
        <w:pStyle w:val="BodyText"/>
      </w:pPr>
      <w:r>
        <w:t xml:space="preserve">Indispensable premises:</w:t>
      </w:r>
    </w:p>
    <w:p>
      <w:pPr>
        <w:pStyle w:val="Compact"/>
        <w:numPr>
          <w:ilvl w:val="0"/>
          <w:numId w:val="1018"/>
        </w:numPr>
      </w:pPr>
      <w:r>
        <w:t xml:space="preserve">Distinction identifies non-identity in a specified respect.</w:t>
      </w:r>
    </w:p>
    <w:p>
      <w:pPr>
        <w:pStyle w:val="Compact"/>
        <w:numPr>
          <w:ilvl w:val="0"/>
          <w:numId w:val="1018"/>
        </w:numPr>
      </w:pPr>
      <w:r>
        <w:t xml:space="preserve">Composition additionally concerns how a whole is constituted.</w:t>
      </w:r>
    </w:p>
    <w:p>
      <w:pPr>
        <w:pStyle w:val="FirstParagraph"/>
      </w:pPr>
      <w:r>
        <w:t xml:space="preserve">Why accept the passage?</w:t>
      </w:r>
    </w:p>
    <w:p>
      <w:pPr>
        <w:pStyle w:val="BodyText"/>
      </w:pPr>
      <w:r>
        <w:t xml:space="preserve">The content of non-identity does not itself specify a constitutive relation. A rival may argue that a particular distinction entails such constitution, but must supply that argument rather than substituting the word real for it.</w:t>
      </w:r>
    </w:p>
    <w:p>
      <w:pPr>
        <w:pStyle w:val="BodyText"/>
      </w:pPr>
      <w:r>
        <w:t xml:space="preserve">What follows?</w:t>
      </w:r>
    </w:p>
    <w:p>
      <w:pPr>
        <w:pStyle w:val="BodyText"/>
      </w:pPr>
      <w:r>
        <w:t xml:space="preserve">A real distinction is excluded by an anti-composition argument only when its dependence-making constitutive role is established.</w:t>
      </w:r>
    </w:p>
    <w:p>
      <w:pPr>
        <w:pStyle w:val="BodyText"/>
      </w:pPr>
      <w:r>
        <w:t xml:space="preserve">Remaining burden: The independent metaphysical status of proposed non-constituent intrinsic distinctions remains disputable.</w:t>
      </w:r>
    </w:p>
    <w:p>
      <w:pPr>
        <w:pStyle w:val="BodyText"/>
      </w:pPr>
      <w:hyperlink r:id="rId161">
        <w:r>
          <w:rPr>
            <w:rStyle w:val="Hyperlink"/>
          </w:rPr>
          <w:t xml:space="preserve">The six simplicity audits</w:t>
        </w:r>
      </w:hyperlink>
      <w:r>
        <w:t xml:space="preserve"> </w:t>
      </w:r>
      <w:r>
        <w:t xml:space="preserve">·</w:t>
      </w:r>
      <w:r>
        <w:t xml:space="preserve"> </w:t>
      </w:r>
      <w:hyperlink r:id="rId176">
        <w:r>
          <w:rPr>
            <w:rStyle w:val="Hyperlink"/>
          </w:rPr>
          <w:t xml:space="preserve">Revealed personal distinction</w:t>
        </w:r>
      </w:hyperlink>
    </w:p>
    <w:bookmarkEnd w:id="177"/>
    <w:bookmarkStart w:id="178" w:name="X50f59979c689bcfe0016e8fd857e275839f2f86"/>
    <w:p>
      <w:pPr>
        <w:pStyle w:val="Heading3"/>
      </w:pPr>
      <w:r>
        <w:t xml:space="preserve">Can one reality support different meanings without making them synonyms?</w:t>
      </w:r>
    </w:p>
    <w:p>
      <w:pPr>
        <w:pStyle w:val="FirstParagraph"/>
      </w:pPr>
      <w:r>
        <w:t xml:space="preserve">Yes. Different questions can concern the same concrete reality. The meaning of knowing differs from the meaning of being able to act; semantic difference alone does not determine whether their ultimate actuality must be distinct. The claim of one realization therefore need not erase meaningful predication.</w:t>
      </w:r>
    </w:p>
    <w:p>
      <w:pPr>
        <w:pStyle w:val="BodyText"/>
      </w:pPr>
      <w:r>
        <w:t xml:space="preserve">But semantic compatibility is only the first requirement. An adequate account must also explain why each predicate is true. It cannot identify contradictory intentions, collapse every property into every other, or infer divine simplicity from the fact that one subject can be described in several ways. The proposed common actuality needs independent metaphysical support.</w:t>
      </w:r>
    </w:p>
    <w:bookmarkEnd w:id="178"/>
    <w:bookmarkStart w:id="179" w:name="X1c03fd0baba07c7d2c04382b54a448e009d249c"/>
    <w:p>
      <w:pPr>
        <w:pStyle w:val="Heading3"/>
      </w:pPr>
      <w:r>
        <w:t xml:space="preserve">Semantic plurality and ontological identity</w:t>
      </w:r>
    </w:p>
    <w:p>
      <w:pPr>
        <w:pStyle w:val="FirstParagraph"/>
      </w:pPr>
      <w:r>
        <w:t xml:space="preserve">A compatibility principle rather than a proof of attribute identity.</w:t>
      </w:r>
    </w:p>
    <w:p>
      <w:pPr>
        <w:pStyle w:val="BodyText"/>
      </w:pPr>
      <w:r>
        <w:t xml:space="preserve">Indispensable premises:</w:t>
      </w:r>
    </w:p>
    <w:p>
      <w:pPr>
        <w:pStyle w:val="Compact"/>
        <w:numPr>
          <w:ilvl w:val="0"/>
          <w:numId w:val="1019"/>
        </w:numPr>
      </w:pPr>
      <w:r>
        <w:t xml:space="preserve">Distinct meanings need not be contradictory.</w:t>
      </w:r>
    </w:p>
    <w:p>
      <w:pPr>
        <w:pStyle w:val="Compact"/>
        <w:numPr>
          <w:ilvl w:val="0"/>
          <w:numId w:val="1019"/>
        </w:numPr>
      </w:pPr>
      <w:r>
        <w:t xml:space="preserve">A single concrete condition can sometimes explain several true descriptions.</w:t>
      </w:r>
    </w:p>
    <w:p>
      <w:pPr>
        <w:pStyle w:val="FirstParagraph"/>
      </w:pPr>
      <w:r>
        <w:t xml:space="preserve">Why accept the passage?</w:t>
      </w:r>
    </w:p>
    <w:p>
      <w:pPr>
        <w:pStyle w:val="BodyText"/>
      </w:pPr>
      <w:r>
        <w:t xml:space="preserve">Different measurements of one geometrical configuration exhibit the distinction. A rival ontology of many properties remains possible; what fails is the claim that semantic difference alone proves separately constituted actuality.</w:t>
      </w:r>
    </w:p>
    <w:p>
      <w:pPr>
        <w:pStyle w:val="BodyText"/>
      </w:pPr>
      <w:r>
        <w:t xml:space="preserve">What follows?</w:t>
      </w:r>
    </w:p>
    <w:p>
      <w:pPr>
        <w:pStyle w:val="BodyText"/>
      </w:pPr>
      <w:r>
        <w:t xml:space="preserve">One actuality with distinct intelligible descriptions is a live possibility that requires case-specific explanation.</w:t>
      </w:r>
    </w:p>
    <w:p>
      <w:pPr>
        <w:pStyle w:val="BodyText"/>
      </w:pPr>
      <w:r>
        <w:t xml:space="preserve">Remaining burden: A divine identity thesis still needs arguments about the source and the positive perfections.</w:t>
      </w:r>
    </w:p>
    <w:p>
      <w:pPr>
        <w:pStyle w:val="BodyText"/>
      </w:pPr>
      <w:hyperlink r:id="rId161">
        <w:r>
          <w:rPr>
            <w:rStyle w:val="Hyperlink"/>
          </w:rPr>
          <w:t xml:space="preserve">Simplicity and positive perfection</w:t>
        </w:r>
      </w:hyperlink>
    </w:p>
    <w:bookmarkEnd w:id="179"/>
    <w:bookmarkStart w:id="180" w:name="X7d10f055b3f8e0122cc0c5bba3196f435630166"/>
    <w:p>
      <w:pPr>
        <w:pStyle w:val="Heading3"/>
      </w:pPr>
      <w:r>
        <w:t xml:space="preserve">If my life and powers are received, in what sense are they really mine?</w:t>
      </w:r>
    </w:p>
    <w:p>
      <w:pPr>
        <w:pStyle w:val="FirstParagraph"/>
      </w:pPr>
      <w:r>
        <w:t xml:space="preserve">Possession and independence answer different questions. A living organism really lives even though its life depends on conditions it did not produce. A student can genuinely understand after receiving help from a teacher. Explaining how an actuality is given does not by itself relocate that actuality into the giver or make its recipient an appearance.</w:t>
      </w:r>
    </w:p>
    <w:p>
      <w:pPr>
        <w:pStyle w:val="BodyText"/>
      </w:pPr>
      <w:r>
        <w:t xml:space="preserve">Participation names dependent possession; genuine action requires the further premise that the recipient has and exercises an operative power. This excludes a picture in which God alone acts while creatures merely seem to do so. It also prevents dependence from becoming an ethical title of ownership: another person’s need for assistance gives the helper responsibilities, not unrestricted authority over that life.</w:t>
      </w:r>
    </w:p>
    <w:bookmarkEnd w:id="180"/>
    <w:bookmarkStart w:id="182" w:name="dependence-with-genuine-possession"/>
    <w:p>
      <w:pPr>
        <w:pStyle w:val="Heading3"/>
      </w:pPr>
      <w:r>
        <w:t xml:space="preserve">Dependence with genuine possession</w:t>
      </w:r>
    </w:p>
    <w:p>
      <w:pPr>
        <w:pStyle w:val="FirstParagraph"/>
      </w:pPr>
      <w:r>
        <w:t xml:space="preserve">Participation combined with an additional secondary-causality premise.</w:t>
      </w:r>
    </w:p>
    <w:p>
      <w:pPr>
        <w:pStyle w:val="BodyText"/>
      </w:pPr>
      <w:r>
        <w:t xml:space="preserve">Indispensable premises:</w:t>
      </w:r>
    </w:p>
    <w:p>
      <w:pPr>
        <w:pStyle w:val="Compact"/>
        <w:numPr>
          <w:ilvl w:val="0"/>
          <w:numId w:val="1020"/>
        </w:numPr>
      </w:pPr>
      <w:r>
        <w:t xml:space="preserve">The received actuality inheres or is exercised in the recipient.</w:t>
      </w:r>
    </w:p>
    <w:p>
      <w:pPr>
        <w:pStyle w:val="Compact"/>
        <w:numPr>
          <w:ilvl w:val="0"/>
          <w:numId w:val="1020"/>
        </w:numPr>
      </w:pPr>
      <w:r>
        <w:t xml:space="preserve">Dependence concerns its origin or sustaining conditions, rather than its numerical identity with the giver’s act.</w:t>
      </w:r>
    </w:p>
    <w:p>
      <w:pPr>
        <w:pStyle w:val="Compact"/>
        <w:numPr>
          <w:ilvl w:val="0"/>
          <w:numId w:val="1020"/>
        </w:numPr>
      </w:pPr>
      <w:r>
        <w:t xml:space="preserve">In cases of agency the recipient genuinely exercises the relevant power.</w:t>
      </w:r>
    </w:p>
    <w:p>
      <w:pPr>
        <w:pStyle w:val="FirstParagraph"/>
      </w:pPr>
      <w:r>
        <w:t xml:space="preserve">Why accept the passage?</w:t>
      </w:r>
    </w:p>
    <w:p>
      <w:pPr>
        <w:pStyle w:val="BodyText"/>
      </w:pPr>
      <w:r>
        <w:t xml:space="preserve">Learning and supported action distinguish the source of a capacity from its possessor and exercise. Occasionalism denies the final premise and therefore requires a different account of the evidence for creaturely action.</w:t>
      </w:r>
    </w:p>
    <w:p>
      <w:pPr>
        <w:pStyle w:val="BodyText"/>
      </w:pPr>
      <w:r>
        <w:t xml:space="preserve">What follows?</w:t>
      </w:r>
    </w:p>
    <w:p>
      <w:pPr>
        <w:pStyle w:val="BodyText"/>
      </w:pPr>
      <w:r>
        <w:t xml:space="preserve">A power can be received and still be the participant’s real power and act.</w:t>
      </w:r>
    </w:p>
    <w:p>
      <w:pPr>
        <w:pStyle w:val="BodyText"/>
      </w:pPr>
      <w:r>
        <w:t xml:space="preserve">Remaining burden: Dependence alone does not prove freedom, moral responsibility, or every proposed instance of secondary causality.</w:t>
      </w:r>
    </w:p>
    <w:p>
      <w:pPr>
        <w:pStyle w:val="BodyText"/>
      </w:pPr>
      <w:hyperlink r:id="rId160">
        <w:r>
          <w:rPr>
            <w:rStyle w:val="Hyperlink"/>
          </w:rPr>
          <w:t xml:space="preserve">Participation as received possession</w:t>
        </w:r>
      </w:hyperlink>
      <w:r>
        <w:t xml:space="preserve"> </w:t>
      </w:r>
      <w:r>
        <w:t xml:space="preserve">·</w:t>
      </w:r>
      <w:r>
        <w:t xml:space="preserve"> </w:t>
      </w:r>
      <w:hyperlink r:id="rId181">
        <w:r>
          <w:rPr>
            <w:rStyle w:val="Hyperlink"/>
          </w:rPr>
          <w:t xml:space="preserve">Supported creaturely agency</w:t>
        </w:r>
      </w:hyperlink>
    </w:p>
    <w:bookmarkEnd w:id="182"/>
    <w:bookmarkEnd w:id="183"/>
    <w:bookmarkStart w:id="189" w:name="sources-and-precise-use"/>
    <w:p>
      <w:pPr>
        <w:pStyle w:val="Heading2"/>
      </w:pPr>
      <w:r>
        <w:t xml:space="preserve">Sources and precise use</w:t>
      </w:r>
    </w:p>
    <w:bookmarkStart w:id="184" w:name="X0a693d1baf548c93de4826378cca869f11769bc"/>
    <w:p>
      <w:pPr>
        <w:pStyle w:val="Heading3"/>
      </w:pPr>
      <w:r>
        <w:t xml:space="preserve">Robert Dryer: Being-First and Measured Manifestation: Definitive Synthetic Edition</w:t>
      </w:r>
    </w:p>
    <w:p>
      <w:pPr>
        <w:pStyle w:val="FirstParagraph"/>
      </w:pPr>
      <w:r>
        <w:t xml:space="preserve">Locus: Chapters 1–4, 7, 21, and 26; glossary.</w:t>
      </w:r>
    </w:p>
    <w:p>
      <w:pPr>
        <w:pStyle w:val="BodyText"/>
      </w:pPr>
      <w:r>
        <w:t xml:space="preserve">Status: Supplied constructive manuscript: selected passages consulted; link gives project source provenance.</w:t>
      </w:r>
    </w:p>
    <w:p>
      <w:pPr>
        <w:pStyle w:val="BodyText"/>
      </w:pPr>
      <w:r>
        <w:t xml:space="preserve">Contribution: Thin actuality, determination, typed explanatory relations, received possession, and non-partitioned personal distinction.</w:t>
      </w:r>
    </w:p>
    <w:p>
      <w:pPr>
        <w:pStyle w:val="BodyText"/>
      </w:pPr>
      <w:r>
        <w:t xml:space="preserve">Limit: The page develops these proposals; the manuscript is not independent historical or magisterial authority. The linked source-method note is not the complete uploaded manuscript.</w:t>
      </w:r>
    </w:p>
    <w:p>
      <w:pPr>
        <w:pStyle w:val="BodyText"/>
      </w:pPr>
      <w:r>
        <w:t xml:space="preserve">Source/provenance: https://participation-6o4.pages.dev/research/atlas/source-method.md</w:t>
      </w:r>
    </w:p>
    <w:bookmarkEnd w:id="184"/>
    <w:bookmarkStart w:id="185" w:name="Xda4b46a03942f8f5022d8c40b58483ce31fe251"/>
    <w:p>
      <w:pPr>
        <w:pStyle w:val="Heading3"/>
      </w:pPr>
      <w:r>
        <w:t xml:space="preserve">Catholic Church: Catechism of the Catholic Church</w:t>
      </w:r>
    </w:p>
    <w:p>
      <w:pPr>
        <w:pStyle w:val="FirstParagraph"/>
      </w:pPr>
      <w:r>
        <w:t xml:space="preserve">Locus: CCC 251–255, 362–365, and 466–469.</w:t>
      </w:r>
    </w:p>
    <w:p>
      <w:pPr>
        <w:pStyle w:val="BodyText"/>
      </w:pPr>
      <w:r>
        <w:t xml:space="preserve">Status: Supplied primary text: selected passages consulted.</w:t>
      </w:r>
    </w:p>
    <w:p>
      <w:pPr>
        <w:pStyle w:val="BodyText"/>
      </w:pPr>
      <w:r>
        <w:t xml:space="preserve">Contribution: Theological adaptation of substance, person, relation, human unity, and the distinction of person and nature in Christ.</w:t>
      </w:r>
    </w:p>
    <w:p>
      <w:pPr>
        <w:pStyle w:val="BodyText"/>
      </w:pPr>
      <w:r>
        <w:t xml:space="preserve">Limit: These doctrinal formulations set boundaries; they do not independently establish this page’s full philosophical ontology.</w:t>
      </w:r>
    </w:p>
    <w:p>
      <w:pPr>
        <w:pStyle w:val="BodyText"/>
      </w:pPr>
      <w:r>
        <w:t xml:space="preserve">Source/provenance: https://www.vatican.va/archive/ENG0015/_INDEX.HTM</w:t>
      </w:r>
    </w:p>
    <w:bookmarkEnd w:id="185"/>
    <w:bookmarkStart w:id="186" w:name="aristotle-metaphysics"/>
    <w:p>
      <w:pPr>
        <w:pStyle w:val="Heading3"/>
      </w:pPr>
      <w:r>
        <w:t xml:space="preserve">Aristotle: Metaphysics</w:t>
      </w:r>
    </w:p>
    <w:p>
      <w:pPr>
        <w:pStyle w:val="FirstParagraph"/>
      </w:pPr>
      <w:r>
        <w:t xml:space="preserve">Locus: Book V, chapters 6, 9, 15, and 25: orientation on unity, sameness, relation, and part.</w:t>
      </w:r>
    </w:p>
    <w:p>
      <w:pPr>
        <w:pStyle w:val="BodyText"/>
      </w:pPr>
      <w:r>
        <w:t xml:space="preserve">Status: Unverified reading lead: exact translation not newly inspected.</w:t>
      </w:r>
    </w:p>
    <w:p>
      <w:pPr>
        <w:pStyle w:val="BodyText"/>
      </w:pPr>
      <w:r>
        <w:t xml:space="preserve">Contribution: A historical point of comparison for distinguishing senses of unity, identity, relation, and part.</w:t>
      </w:r>
    </w:p>
    <w:p>
      <w:pPr>
        <w:pStyle w:val="BodyText"/>
      </w:pPr>
      <w:r>
        <w:t xml:space="preserve">Limit: No quotation or modern realization thesis is attributed to Aristotle here.</w:t>
      </w:r>
    </w:p>
    <w:p>
      <w:pPr>
        <w:pStyle w:val="BodyText"/>
      </w:pPr>
      <w:r>
        <w:t xml:space="preserve">Source/provenance: https://classics.mit.edu/Aristotle/metaphysics.html</w:t>
      </w:r>
    </w:p>
    <w:bookmarkEnd w:id="186"/>
    <w:bookmarkStart w:id="187" w:name="thomas-aquinas-summa-theologiae"/>
    <w:p>
      <w:pPr>
        <w:pStyle w:val="Heading3"/>
      </w:pPr>
      <w:r>
        <w:t xml:space="preserve">Thomas Aquinas: Summa theologiae</w:t>
      </w:r>
    </w:p>
    <w:p>
      <w:pPr>
        <w:pStyle w:val="FirstParagraph"/>
      </w:pPr>
      <w:r>
        <w:t xml:space="preserve">Locus: I, q. 3, a. 7; q. 13, a. 4; q. 28, aa. 1–3.</w:t>
      </w:r>
    </w:p>
    <w:p>
      <w:pPr>
        <w:pStyle w:val="BodyText"/>
      </w:pPr>
      <w:r>
        <w:t xml:space="preserve">Status: Inherited consultation in the atlas’s simplicity and divine-agency research.</w:t>
      </w:r>
    </w:p>
    <w:p>
      <w:pPr>
        <w:pStyle w:val="BodyText"/>
      </w:pPr>
      <w:r>
        <w:t xml:space="preserve">Contribution: Composition, the non-synonymy of divine names, and the distinct treatment of divine relations.</w:t>
      </w:r>
    </w:p>
    <w:p>
      <w:pPr>
        <w:pStyle w:val="BodyText"/>
      </w:pPr>
      <w:r>
        <w:t xml:space="preserve">Limit: The present toolkit is a constructive comparison, not a claim that all its distinctions are Aquinas’s own terminology.</w:t>
      </w:r>
    </w:p>
    <w:p>
      <w:pPr>
        <w:pStyle w:val="BodyText"/>
      </w:pPr>
      <w:r>
        <w:t xml:space="preserve">Source/provenance: https://www.newadvent.org/summa/1.htm</w:t>
      </w:r>
    </w:p>
    <w:bookmarkEnd w:id="187"/>
    <w:bookmarkStart w:id="188" w:name="gregory-nazianzen-oration-29"/>
    <w:p>
      <w:pPr>
        <w:pStyle w:val="Heading3"/>
      </w:pPr>
      <w:r>
        <w:t xml:space="preserve">Gregory Nazianzen: Oration 29</w:t>
      </w:r>
    </w:p>
    <w:p>
      <w:pPr>
        <w:pStyle w:val="FirstParagraph"/>
      </w:pPr>
      <w:r>
        <w:t xml:space="preserve">Locus: Section 16, the name Father and relation; read alongside CCC 254–255.</w:t>
      </w:r>
    </w:p>
    <w:p>
      <w:pPr>
        <w:pStyle w:val="BodyText"/>
      </w:pPr>
      <w:r>
        <w:t xml:space="preserve">Status: Unverified reading lead: direct edition not newly inspected.</w:t>
      </w:r>
    </w:p>
    <w:p>
      <w:pPr>
        <w:pStyle w:val="BodyText"/>
      </w:pPr>
      <w:r>
        <w:t xml:space="preserve">Contribution: A patristic comparison for relation and divine personal naming, with the doctrinal content independently supplied by the consulted Catechism.</w:t>
      </w:r>
    </w:p>
    <w:p>
      <w:pPr>
        <w:pStyle w:val="BodyText"/>
      </w:pPr>
      <w:r>
        <w:t xml:space="preserve">Limit: Does not authorize treating every real difference as a relation or deriving the Trinity from natural metaphysics.</w:t>
      </w:r>
    </w:p>
    <w:p>
      <w:pPr>
        <w:pStyle w:val="BodyText"/>
      </w:pPr>
      <w:r>
        <w:t xml:space="preserve">Source/provenance: https://www.newadvent.org/fathers/310229.htm</w:t>
      </w:r>
    </w:p>
    <w:bookmarkEnd w:id="188"/>
    <w:bookmarkEnd w:id="189"/>
    <w:bookmarkStart w:id="191" w:name="where-this-argument-matters"/>
    <w:p>
      <w:pPr>
        <w:pStyle w:val="Heading2"/>
      </w:pPr>
      <w:r>
        <w:t xml:space="preserve">Where this argument matters</w:t>
      </w:r>
    </w:p>
    <w:p>
      <w:pPr>
        <w:pStyle w:val="Compact"/>
        <w:numPr>
          <w:ilvl w:val="0"/>
          <w:numId w:val="1021"/>
        </w:numPr>
      </w:pPr>
      <w:hyperlink r:id="rId190">
        <w:r>
          <w:rPr>
            <w:rStyle w:val="Hyperlink"/>
          </w:rPr>
          <w:t xml:space="preserve">Manifestation, Analogy, and Revelation</w:t>
        </w:r>
      </w:hyperlink>
      <w:r>
        <w:t xml:space="preserve">: Apply the distinction between reality, presentation, and warranted knowledge.</w:t>
      </w:r>
    </w:p>
    <w:p>
      <w:pPr>
        <w:pStyle w:val="Compact"/>
        <w:numPr>
          <w:ilvl w:val="0"/>
          <w:numId w:val="1021"/>
        </w:numPr>
      </w:pPr>
      <w:hyperlink r:id="rId176">
        <w:r>
          <w:rPr>
            <w:rStyle w:val="Hyperlink"/>
          </w:rPr>
          <w:t xml:space="preserve">Trinity</w:t>
        </w:r>
      </w:hyperlink>
      <w:r>
        <w:t xml:space="preserve">: Test whether the grammar can receive real personal distinction without partition.</w:t>
      </w:r>
    </w:p>
    <w:p>
      <w:pPr>
        <w:pStyle w:val="Compact"/>
        <w:numPr>
          <w:ilvl w:val="0"/>
          <w:numId w:val="1021"/>
        </w:numPr>
      </w:pPr>
      <w:hyperlink r:id="rId181">
        <w:r>
          <w:rPr>
            <w:rStyle w:val="Hyperlink"/>
          </w:rPr>
          <w:t xml:space="preserve">The Human Person</w:t>
        </w:r>
      </w:hyperlink>
      <w:r>
        <w:t xml:space="preserve">: Develop embodied unity, personal dignity, and supported action.</w:t>
      </w:r>
    </w:p>
    <w:p>
      <w:r>
        <w:pict>
          <v:rect style="width:0;height:1.5pt" o:hralign="center" o:hrstd="t" o:hr="t"/>
        </w:pict>
      </w:r>
    </w:p>
    <w:bookmarkEnd w:id="191"/>
    <w:bookmarkEnd w:id="192"/>
    <w:bookmarkStart w:id="226" w:name="manifestation-analogy-and-revelation"/>
    <w:p>
      <w:pPr>
        <w:pStyle w:val="Heading1"/>
      </w:pPr>
      <w:r>
        <w:t xml:space="preserve">5. Manifestation, Analogy, and Revelation</w:t>
      </w:r>
    </w:p>
    <w:p>
      <w:pPr>
        <w:pStyle w:val="FirstParagraph"/>
      </w:pPr>
      <w:r>
        <w:t xml:space="preserve">How can finite words, events, and witnesses give truthful access to God without either containing God or certifying themselves?</w:t>
      </w:r>
    </w:p>
    <w:p>
      <w:pPr>
        <w:pStyle w:val="BodyText"/>
      </w:pPr>
      <w:r>
        <w:t xml:space="preserve">A thing can disclose more than itself because its relations carry information. A footprint can disclose an animal; a promise can disclose an intention; an action can make someone’s fidelity visible. Yet those relations license different conclusions. A footprint does not disclose everything about its maker, and a convincing performance can conceal an intention. The task is to identify what actually connects a presentation to the reality it claims to disclose.</w:t>
      </w:r>
    </w:p>
    <w:p>
      <w:pPr>
        <w:pStyle w:val="BodyText"/>
      </w:pPr>
      <w:r>
        <w:t xml:space="preserve">Catholic revelation adds a stronger claim: God freely communicates himself through a history of deeds and words fulfilled in Jesus Christ. Participation makes such communication intelligible without partition of the source. It does not identify which history is revelatory. Recognition requires historical inquiry, interpretation, testimony, and theological warrant. Keeping those responsibilities distinct permits a richer account of revelation than either bare information or an overwhelming experience.</w:t>
      </w:r>
    </w:p>
    <w:bookmarkStart w:id="194" w:name="what-this-page-uses-1"/>
    <w:p>
      <w:pPr>
        <w:pStyle w:val="Heading2"/>
      </w:pPr>
      <w:r>
        <w:t xml:space="preserve">What this page uses</w:t>
      </w:r>
    </w:p>
    <w:p>
      <w:pPr>
        <w:pStyle w:val="Compact"/>
        <w:numPr>
          <w:ilvl w:val="0"/>
          <w:numId w:val="1022"/>
        </w:numPr>
      </w:pPr>
      <w:hyperlink r:id="rId160">
        <w:r>
          <w:rPr>
            <w:rStyle w:val="Hyperlink"/>
          </w:rPr>
          <w:t xml:space="preserve">Participation</w:t>
        </w:r>
      </w:hyperlink>
      <w:r>
        <w:t xml:space="preserve">: Real dependent possession permits creatures to express their source, provided an additional relation warrants the expression.</w:t>
      </w:r>
    </w:p>
    <w:p>
      <w:pPr>
        <w:pStyle w:val="Compact"/>
        <w:numPr>
          <w:ilvl w:val="0"/>
          <w:numId w:val="1022"/>
        </w:numPr>
      </w:pPr>
      <w:hyperlink r:id="rId193">
        <w:r>
          <w:rPr>
            <w:rStyle w:val="Hyperlink"/>
          </w:rPr>
          <w:t xml:space="preserve">Reality, Determination, and Relation</w:t>
        </w:r>
      </w:hyperlink>
      <w:r>
        <w:t xml:space="preserve">: A difference in how something appears must be distinguished from a difference in its constitution or intrinsic actuality.</w:t>
      </w:r>
    </w:p>
    <w:p>
      <w:pPr>
        <w:pStyle w:val="Compact"/>
        <w:numPr>
          <w:ilvl w:val="0"/>
          <w:numId w:val="1022"/>
        </w:numPr>
      </w:pPr>
      <w:hyperlink r:id="rId161">
        <w:r>
          <w:rPr>
            <w:rStyle w:val="Hyperlink"/>
          </w:rPr>
          <w:t xml:space="preserve">Beyond Participation</w:t>
        </w:r>
      </w:hyperlink>
      <w:r>
        <w:t xml:space="preserve">: Sourcehood and positive perfection require their own arguments before effects license divine predicates.</w:t>
      </w:r>
    </w:p>
    <w:bookmarkEnd w:id="194"/>
    <w:bookmarkStart w:id="195" w:name="what-it-undertakes-to-establish-1"/>
    <w:p>
      <w:pPr>
        <w:pStyle w:val="Heading2"/>
      </w:pPr>
      <w:r>
        <w:t xml:space="preserve">What it undertakes to establish</w:t>
      </w:r>
    </w:p>
    <w:p>
      <w:pPr>
        <w:pStyle w:val="Compact"/>
        <w:numPr>
          <w:ilvl w:val="0"/>
          <w:numId w:val="1023"/>
        </w:numPr>
      </w:pPr>
      <w:r>
        <w:t xml:space="preserve">Truthful finite disclosure requires neither exhaustive representation nor identity with what is disclosed.</w:t>
      </w:r>
    </w:p>
    <w:p>
      <w:pPr>
        <w:pStyle w:val="Compact"/>
        <w:numPr>
          <w:ilvl w:val="0"/>
          <w:numId w:val="1023"/>
        </w:numPr>
      </w:pPr>
      <w:r>
        <w:t xml:space="preserve">Analogy preserves warranted positive content while qualifying the mode in which that content belongs to God.</w:t>
      </w:r>
    </w:p>
    <w:p>
      <w:pPr>
        <w:pStyle w:val="Compact"/>
        <w:numPr>
          <w:ilvl w:val="0"/>
          <w:numId w:val="1023"/>
        </w:numPr>
      </w:pPr>
      <w:r>
        <w:t xml:space="preserve">Miracle inquiry needs separate judgments of event, cause, divine attribution, meaning, attested scope, and ecclesial reception.</w:t>
      </w:r>
    </w:p>
    <w:p>
      <w:pPr>
        <w:pStyle w:val="Compact"/>
        <w:numPr>
          <w:ilvl w:val="0"/>
          <w:numId w:val="1023"/>
        </w:numPr>
      </w:pPr>
      <w:r>
        <w:t xml:space="preserve">The possibility of revelation and the credibility of an actual revelation are different explanatory achievements.</w:t>
      </w:r>
    </w:p>
    <w:bookmarkEnd w:id="195"/>
    <w:bookmarkStart w:id="197" w:name="X11dcd0a4d7fbd51bc61d5aa52686879c71c5564"/>
    <w:p>
      <w:pPr>
        <w:pStyle w:val="Heading2"/>
      </w:pPr>
      <w:r>
        <w:t xml:space="preserve">When appearing becomes truthful disclosure</w:t>
      </w:r>
    </w:p>
    <w:p>
      <w:pPr>
        <w:pStyle w:val="FirstParagraph"/>
      </w:pPr>
      <w:r>
        <w:t xml:space="preserve">Status: Philosophical argument.</w:t>
      </w:r>
    </w:p>
    <w:p>
      <w:pPr>
        <w:pStyle w:val="BodyText"/>
      </w:pPr>
      <w:r>
        <w:t xml:space="preserve">Presentation means that something appears, is represented, or is reported. Disclosure adds successful access to the reality presented. A thermometer can display a number without accurately measuring the patient’s temperature. Successful measurement requires a reliable relation between the patient’s condition, the instrument, and its reading. Competence and appropriate conditions turn a display into evidence. This distinction also applies to intellectual and religious experience: vividness, sincerity, and communal acceptance can matter without making an interpretation true.</w:t>
      </w:r>
    </w:p>
    <w:p>
      <w:pPr>
        <w:pStyle w:val="BodyText"/>
      </w:pPr>
      <w:r>
        <w:t xml:space="preserve">Receptive priority means that, where a judgment purports to receive an independently existing determination, that determination measures its correctness. The patient’s fever does not arise from accepting the reading. This local priority is supported by correction, converging instruments, and interventions that change the object rather than our opinion. It does not prove that every reality is independent of every mind. Promises and institutions involve constitutive human acts; even those acts can be misunderstood. The practical rule is to ask what would make this judgment correct and what could show it mistaken. A disclosure can be partial and still answer both questions.</w:t>
      </w:r>
    </w:p>
    <w:bookmarkStart w:id="196" w:name="from-presentation-to-warranted-access"/>
    <w:p>
      <w:pPr>
        <w:pStyle w:val="Heading3"/>
      </w:pPr>
      <w:r>
        <w:t xml:space="preserve">From presentation to warranted access</w:t>
      </w:r>
    </w:p>
    <w:p>
      <w:pPr>
        <w:pStyle w:val="FirstParagraph"/>
      </w:pPr>
      <w:r>
        <w:t xml:space="preserve">An epistemic bridge concerning a specified object and aspect.</w:t>
      </w:r>
    </w:p>
    <w:p>
      <w:pPr>
        <w:pStyle w:val="BodyText"/>
      </w:pPr>
      <w:r>
        <w:t xml:space="preserve">Indispensable premises:</w:t>
      </w:r>
    </w:p>
    <w:p>
      <w:pPr>
        <w:pStyle w:val="Compact"/>
        <w:numPr>
          <w:ilvl w:val="0"/>
          <w:numId w:val="1024"/>
        </w:numPr>
      </w:pPr>
      <w:r>
        <w:t xml:space="preserve">The proposed object or determination is independently identifiable.</w:t>
      </w:r>
    </w:p>
    <w:p>
      <w:pPr>
        <w:pStyle w:val="Compact"/>
        <w:numPr>
          <w:ilvl w:val="0"/>
          <w:numId w:val="1024"/>
        </w:numPr>
      </w:pPr>
      <w:r>
        <w:t xml:space="preserve">A reliable relation preserves information about that determination through the relevant medium.</w:t>
      </w:r>
    </w:p>
    <w:p>
      <w:pPr>
        <w:pStyle w:val="Compact"/>
        <w:numPr>
          <w:ilvl w:val="0"/>
          <w:numId w:val="1024"/>
        </w:numPr>
      </w:pPr>
      <w:r>
        <w:t xml:space="preserve">The recipient can discriminate the information under suitable conditions.</w:t>
      </w:r>
    </w:p>
    <w:p>
      <w:pPr>
        <w:pStyle w:val="FirstParagraph"/>
      </w:pPr>
      <w:r>
        <w:t xml:space="preserve">Why accept the passage?</w:t>
      </w:r>
    </w:p>
    <w:p>
      <w:pPr>
        <w:pStyle w:val="BodyText"/>
      </w:pPr>
      <w:r>
        <w:t xml:space="preserve">Convergence across independent methods, correction under controlled intervention, and the exclusion of relevant error mechanisms give positive evidence that the presentation tracks its object. Mere agreement without such tracking remains a serious rival.</w:t>
      </w:r>
    </w:p>
    <w:p>
      <w:pPr>
        <w:pStyle w:val="BodyText"/>
      </w:pPr>
      <w:r>
        <w:t xml:space="preserve">What follows?</w:t>
      </w:r>
    </w:p>
    <w:p>
      <w:pPr>
        <w:pStyle w:val="BodyText"/>
      </w:pPr>
      <w:r>
        <w:t xml:space="preserve">The recipient has defeasible warrant for the disclosed aspect without possessing an exhaustive representation.</w:t>
      </w:r>
    </w:p>
    <w:p>
      <w:pPr>
        <w:pStyle w:val="BodyText"/>
      </w:pPr>
      <w:r>
        <w:t xml:space="preserve">Remaining burden: Reliability must be established in the relevant domain; success in one respect does not license every associated interpretation.</w:t>
      </w:r>
    </w:p>
    <w:bookmarkEnd w:id="196"/>
    <w:bookmarkEnd w:id="197"/>
    <w:bookmarkStart w:id="198" w:name="Xe209b17f44669450910c88007b6449f19932e50"/>
    <w:p>
      <w:pPr>
        <w:pStyle w:val="Heading2"/>
      </w:pPr>
      <w:r>
        <w:t xml:space="preserve">Analogy must preserve something worth saying</w:t>
      </w:r>
    </w:p>
    <w:p>
      <w:pPr>
        <w:pStyle w:val="FirstParagraph"/>
      </w:pPr>
      <w:r>
        <w:t xml:space="preserve">Status: Conditional philosophical argument.</w:t>
      </w:r>
    </w:p>
    <w:p>
      <w:pPr>
        <w:pStyle w:val="BodyText"/>
      </w:pPr>
      <w:r>
        <w:t xml:space="preserve">Causation first warrants causal claims. A printed page shows that something produced the marks; it does not establish that the printer understands them. Likewise, creating intelligent creatures does not by itself prove that their source knows in the same way they do. An argument for divine intellect needs a further account of cognition as a perfection and of its grounding in the universal source. Calling an effect a likeness cannot supply the missing argument.</w:t>
      </w:r>
    </w:p>
    <w:p>
      <w:pPr>
        <w:pStyle w:val="BodyText"/>
      </w:pPr>
      <w:r>
        <w:t xml:space="preserve">Once a predicate is warranted, analogy distinguishes its positive content from a creaturely mode. Knowledge involves truth possessed intelligibly; learning, bodily organs, correction, and discursive succession describe modes of finite knowing. If independent arguments establish underived intelligence, those receptive modes need not transfer to it. The result is determinate: saying that God knows excludes complete noncognition. Apophatic qualification removes an inadequate mode without cancelling the affirmation. The same discipline applies to goodness and power. Finite effects can truly express their source while failing to reproduce its manner of being; neither shared vocabulary nor difference of mode alone establishes the attribution.</w:t>
      </w:r>
    </w:p>
    <w:bookmarkEnd w:id="198"/>
    <w:bookmarkStart w:id="199" w:name="history-can-mediate-knowledge"/>
    <w:p>
      <w:pPr>
        <w:pStyle w:val="Heading2"/>
      </w:pPr>
      <w:r>
        <w:t xml:space="preserve">History can mediate knowledge</w:t>
      </w:r>
    </w:p>
    <w:p>
      <w:pPr>
        <w:pStyle w:val="FirstParagraph"/>
      </w:pPr>
      <w:r>
        <w:t xml:space="preserve">Status: Philosophical argument and historical method.</w:t>
      </w:r>
    </w:p>
    <w:p>
      <w:pPr>
        <w:pStyle w:val="BodyText"/>
      </w:pPr>
      <w:r>
        <w:t xml:space="preserve">Much ordinary knowledge arrives through other people. A historian need not have witnessed a coronation to know that it occurred. Testimony carries knowledge when witnesses had relevant access, transmitted their claims responsibly, and survive appropriate checks. Dependence on testimony is not a defect removable by replacing every witness with personal observation; even an investigator relies on records, specialists, language, and remembered results.</w:t>
      </w:r>
    </w:p>
    <w:p>
      <w:pPr>
        <w:pStyle w:val="BodyText"/>
      </w:pPr>
      <w:r>
        <w:t xml:space="preserve">Religious testimony receives the same questions with additional demands. Which event is claimed? How early and independent are the sources? What genres and purposes shape their reports? Could error, deception, retrospective interpretation, or a common source account for the agreement? A theological explanation must compete with the strongest supported alternatives rather than receive credit from their mere logical possibility. Conversely, the possibility of unknown error does not defeat every well-supported report. Historical judgment is cumulative and proportioned to evidence. Showing that revelation is metaphysically possible clears an objection; establishing the credibility of a particular claim requires this further work.</w:t>
      </w:r>
    </w:p>
    <w:bookmarkEnd w:id="199"/>
    <w:bookmarkStart w:id="201" w:name="X0170325313f8dd99fee4a0f309081c388f6c8d3"/>
    <w:p>
      <w:pPr>
        <w:pStyle w:val="Heading2"/>
      </w:pPr>
      <w:r>
        <w:t xml:space="preserve">Revelation is fulfilled in a person and a history</w:t>
      </w:r>
    </w:p>
    <w:p>
      <w:pPr>
        <w:pStyle w:val="FirstParagraph"/>
      </w:pPr>
      <w:r>
        <w:t xml:space="preserve">Status: Doctrinally received, with philosophical clarification.</w:t>
      </w:r>
    </w:p>
    <w:p>
      <w:pPr>
        <w:pStyle w:val="BodyText"/>
      </w:pPr>
      <w:r>
        <w:t xml:space="preserve">Dei Verbum §2 presents revelation as God’s invitation into fellowship, realized through deeds and words that illuminate one another. Section 4 identifies Christ as its fulfillment through his life, teaching, signs, death, resurrection, and sending of the Spirit. The claim concerns God’s self-communication, not merely a new description of an already available metaphysical source. No deduction from dependence establishes the Incarnation or Easter. These are received Christian claims whose historical and theological warrants must be examined on their own terms.</w:t>
      </w:r>
    </w:p>
    <w:p>
      <w:pPr>
        <w:pStyle w:val="BodyText"/>
      </w:pPr>
      <w:r>
        <w:t xml:space="preserve">The distinction also clarifies Scripture. Dei Verbum §11 affirms divine inspiration while calling the human writers true authors who used their powers and abilities. Section 12 therefore requires attention to intention, literary form, circumstance, canonical unity, and living tradition. Inspiration does not erase the work of interpretation. Section 10 places the teaching office in service to the word of God. Within Catholic theology, this supplies a norm for ecclesial interpretation; it cannot function as a premise-neutral proof of that office’s authority. The atlas keeps these different warrants visible while allowing them to converge.</w:t>
      </w:r>
    </w:p>
    <w:bookmarkStart w:id="200" w:name="X46cf6e75202ee2617ccf99301e3fb965e991421"/>
    <w:p>
      <w:pPr>
        <w:pStyle w:val="Heading3"/>
      </w:pPr>
      <w:r>
        <w:t xml:space="preserve">From a credible witness to a determinate revelatory claim</w:t>
      </w:r>
    </w:p>
    <w:p>
      <w:pPr>
        <w:pStyle w:val="FirstParagraph"/>
      </w:pPr>
      <w:r>
        <w:t xml:space="preserve">Historical and theological reasoning, not a deduction of Christianity from participation.</w:t>
      </w:r>
    </w:p>
    <w:p>
      <w:pPr>
        <w:pStyle w:val="BodyText"/>
      </w:pPr>
      <w:r>
        <w:t xml:space="preserve">Indispensable premises:</w:t>
      </w:r>
    </w:p>
    <w:p>
      <w:pPr>
        <w:pStyle w:val="Compact"/>
        <w:numPr>
          <w:ilvl w:val="0"/>
          <w:numId w:val="1025"/>
        </w:numPr>
      </w:pPr>
      <w:r>
        <w:t xml:space="preserve">A particular event and witness have adequate historical support.</w:t>
      </w:r>
    </w:p>
    <w:p>
      <w:pPr>
        <w:pStyle w:val="Compact"/>
        <w:numPr>
          <w:ilvl w:val="0"/>
          <w:numId w:val="1025"/>
        </w:numPr>
      </w:pPr>
      <w:r>
        <w:t xml:space="preserve">The event’s relation to the claimant and message is independently intelligible.</w:t>
      </w:r>
    </w:p>
    <w:p>
      <w:pPr>
        <w:pStyle w:val="Compact"/>
        <w:numPr>
          <w:ilvl w:val="0"/>
          <w:numId w:val="1025"/>
        </w:numPr>
      </w:pPr>
      <w:r>
        <w:t xml:space="preserve">Further grounds warrant attributing the disclosure to the truthful God rather than merely to an unusual experience.</w:t>
      </w:r>
    </w:p>
    <w:p>
      <w:pPr>
        <w:pStyle w:val="FirstParagraph"/>
      </w:pPr>
      <w:r>
        <w:t xml:space="preserve">Why accept the passage?</w:t>
      </w:r>
    </w:p>
    <w:p>
      <w:pPr>
        <w:pStyle w:val="BodyText"/>
      </w:pPr>
      <w:r>
        <w:t xml:space="preserve">The evidential force comes from the convergence of independently assessed event, context, claimant, and content. The rival of a sincere but mistaken witness must be addressed at those points; describing the message as divine cannot establish its origin.</w:t>
      </w:r>
    </w:p>
    <w:p>
      <w:pPr>
        <w:pStyle w:val="BodyText"/>
      </w:pPr>
      <w:r>
        <w:t xml:space="preserve">What follows?</w:t>
      </w:r>
    </w:p>
    <w:p>
      <w:pPr>
        <w:pStyle w:val="BodyText"/>
      </w:pPr>
      <w:r>
        <w:t xml:space="preserve">A bounded claim to revelation can be rationally credible; Catholic faith receives it through grace in trust in God who reveals.</w:t>
      </w:r>
    </w:p>
    <w:p>
      <w:pPr>
        <w:pStyle w:val="BodyText"/>
      </w:pPr>
      <w:r>
        <w:t xml:space="preserve">Remaining burden: Credibility does not deduce every revealed mystery or eliminate the need to establish historical and ecclesial premises.</w:t>
      </w:r>
    </w:p>
    <w:bookmarkEnd w:id="200"/>
    <w:bookmarkEnd w:id="201"/>
    <w:bookmarkStart w:id="203" w:name="X1ff6e979ba95087da1556afa0f461dec28163bb"/>
    <w:p>
      <w:pPr>
        <w:pStyle w:val="Heading2"/>
      </w:pPr>
      <w:r>
        <w:t xml:space="preserve">Miracle and Divine Testimony: six distinct judgments</w:t>
      </w:r>
    </w:p>
    <w:p>
      <w:pPr>
        <w:pStyle w:val="FirstParagraph"/>
      </w:pPr>
      <w:r>
        <w:t xml:space="preserve">Status: Constructive methodological reconstruction.</w:t>
      </w:r>
    </w:p>
    <w:p>
      <w:pPr>
        <w:pStyle w:val="BodyText"/>
      </w:pPr>
      <w:r>
        <w:t xml:space="preserve">First establish occurrence: what happened, when, and on whose evidence? Second examine cause: known mechanisms, treatment, spontaneous change, fraud, and psychological factors. Third assess divine attribution: medical inexplicability alone does not identify God, and an event beyond familiar powers need not exceed every created power. Fourth interpret signification: a cure may be a benefaction, an answer to invocation, or a sign of restoration. Fifth determine attested scope: what truth, person, mission, or claim is actually implicated? Sixth consider ecclesial reception: what judgment is warranted for the community, under which authority and with what force? These six labels are a modern reconstruction, not Lambertini’s numbered formula.</w:t>
      </w:r>
    </w:p>
    <w:p>
      <w:pPr>
        <w:pStyle w:val="BodyText"/>
      </w:pPr>
      <w:r>
        <w:t xml:space="preserve">Consider a well-documented cure after prayer at a shrine. The cure’s occurrence, its causal explanation, the apparition associated with the shrine, and every opinion of its devotees remain different claims. Evidence for one does not automatically certify the others. A stronger case combines established facts, substantial evidence against relevant created explanations, and a specific intelligible connection between invocation and outcome. The supplied miracle manuscript, which reconstructs the Handbook on Miracles, develops this inquiry; the linked handbook has not been freshly verified here. Apply the same historical and causal standards across religious contexts. Divine benefaction outside Catholic communion does not endorse an entire surrounding theology. Catholic belief in divine truthfulness predicts coherent divine testimony; it must not be used to dismiss inconvenient evidence by definition.</w:t>
      </w:r>
    </w:p>
    <w:bookmarkStart w:id="202" w:name="Xe4b98fd7d87423c88b454ec7917ed5e411be5d5"/>
    <w:p>
      <w:pPr>
        <w:pStyle w:val="Heading3"/>
      </w:pPr>
      <w:r>
        <w:t xml:space="preserve">The scope of a sign follows its warranted relation</w:t>
      </w:r>
    </w:p>
    <w:p>
      <w:pPr>
        <w:pStyle w:val="FirstParagraph"/>
      </w:pPr>
      <w:r>
        <w:t xml:space="preserve">An evidential and interpretive principle governing miracle claims.</w:t>
      </w:r>
    </w:p>
    <w:p>
      <w:pPr>
        <w:pStyle w:val="BodyText"/>
      </w:pPr>
      <w:r>
        <w:t xml:space="preserve">Indispensable premises:</w:t>
      </w:r>
    </w:p>
    <w:p>
      <w:pPr>
        <w:pStyle w:val="Compact"/>
        <w:numPr>
          <w:ilvl w:val="0"/>
          <w:numId w:val="1026"/>
        </w:numPr>
      </w:pPr>
      <w:r>
        <w:t xml:space="preserve">The event and proposed divine attribution have received separate assessment.</w:t>
      </w:r>
    </w:p>
    <w:p>
      <w:pPr>
        <w:pStyle w:val="Compact"/>
        <w:numPr>
          <w:ilvl w:val="0"/>
          <w:numId w:val="1026"/>
        </w:numPr>
      </w:pPr>
      <w:r>
        <w:t xml:space="preserve">A specific contextual relation connects the event with a truth, person, or mission.</w:t>
      </w:r>
    </w:p>
    <w:p>
      <w:pPr>
        <w:pStyle w:val="Compact"/>
        <w:numPr>
          <w:ilvl w:val="0"/>
          <w:numId w:val="1026"/>
        </w:numPr>
      </w:pPr>
      <w:r>
        <w:t xml:space="preserve">That relation is better supported than the relevant accidental or rival interpretation.</w:t>
      </w:r>
    </w:p>
    <w:p>
      <w:pPr>
        <w:pStyle w:val="FirstParagraph"/>
      </w:pPr>
      <w:r>
        <w:t xml:space="preserve">Why accept the passage?</w:t>
      </w:r>
    </w:p>
    <w:p>
      <w:pPr>
        <w:pStyle w:val="BodyText"/>
      </w:pPr>
      <w:r>
        <w:t xml:space="preserve">Evidence supports a conclusion through the feature that makes it evidentially relevant. Extending endorsement to unrelated beliefs abandons that feature. The rival interpretation of a genuine gift with no doctrinal endorsement remains available wherever the context does not discriminate.</w:t>
      </w:r>
    </w:p>
    <w:p>
      <w:pPr>
        <w:pStyle w:val="BodyText"/>
      </w:pPr>
      <w:r>
        <w:t xml:space="preserve">What follows?</w:t>
      </w:r>
    </w:p>
    <w:p>
      <w:pPr>
        <w:pStyle w:val="BodyText"/>
      </w:pPr>
      <w:r>
        <w:t xml:space="preserve">A miracle may supply a determinate, limited line of attestation without certifying every associated belief or individual.</w:t>
      </w:r>
    </w:p>
    <w:p>
      <w:pPr>
        <w:pStyle w:val="BodyText"/>
      </w:pPr>
      <w:r>
        <w:t xml:space="preserve">Remaining burden: A positive case still needs defensible causal attribution and interpretation; ecclesial approval and personal certainty are not interchangeable.</w:t>
      </w:r>
    </w:p>
    <w:bookmarkEnd w:id="202"/>
    <w:bookmarkEnd w:id="203"/>
    <w:bookmarkStart w:id="204" w:name="X617dbf0ce478d6dfe189a20dccdf60acb0d9a92"/>
    <w:p>
      <w:pPr>
        <w:pStyle w:val="Heading2"/>
      </w:pPr>
      <w:r>
        <w:t xml:space="preserve">Excess can deepen interpretation without replacing evidence</w:t>
      </w:r>
    </w:p>
    <w:p>
      <w:pPr>
        <w:pStyle w:val="FirstParagraph"/>
      </w:pPr>
      <w:r>
        <w:t xml:space="preserve">Status: Historical comparison and constructive retrieval.</w:t>
      </w:r>
    </w:p>
    <w:p>
      <w:pPr>
        <w:pStyle w:val="BodyText"/>
      </w:pPr>
      <w:r>
        <w:t xml:space="preserve">Marion challenges the assumption that a phenomenon is genuine only if a recipient can master it conceptually. A person, artwork, or religious event can exceed an observer’s available categories and call for continuing interpretation. Robyn Horner’s Jean-Luc Marion: A Theo-logical Introduction, pp.132–33, explains his distinction between the possibility of revelation and actual Revelation, while questioning how cleanly his examples maintain it. This pressure is productive: an account of possible appearing is not yet an account of divine causation, historical occurrence, or doctrinal truth. Intensity and excess do not authenticate their source.</w:t>
      </w:r>
    </w:p>
    <w:p>
      <w:pPr>
        <w:pStyle w:val="BodyText"/>
      </w:pPr>
      <w:r>
        <w:t xml:space="preserve">Eriugena makes a different contribution. Periphyseon I, 449A–450B, presents theophany through divine condescension and the creature’s loving transformation, preserving the illuminated creature’s nature in its analogy of air and light. Manifestation can therefore involve becoming capable of reception, not merely looking at an external sign. Yet III, 678C–D, uses striking identity and divine self-creation language. Its interpretation is contested; this atlas does not silently harmonize it. The constructive retrieval affirms real expression and transformation while rejecting any reading in which creatures constitute God’s essence or complete divine self-knowledge. Historical continuity must survive that explicit test.</w:t>
      </w:r>
    </w:p>
    <w:bookmarkEnd w:id="204"/>
    <w:bookmarkStart w:id="205" w:name="recognition-can-become-a-life"/>
    <w:p>
      <w:pPr>
        <w:pStyle w:val="Heading2"/>
      </w:pPr>
      <w:r>
        <w:t xml:space="preserve">Recognition can become a life</w:t>
      </w:r>
    </w:p>
    <w:p>
      <w:pPr>
        <w:pStyle w:val="FirstParagraph"/>
      </w:pPr>
      <w:r>
        <w:t xml:space="preserve">Status: Philosophical clarification within a Catholic theological horizon.</w:t>
      </w:r>
    </w:p>
    <w:p>
      <w:pPr>
        <w:pStyle w:val="BodyText"/>
      </w:pPr>
      <w:r>
        <w:t xml:space="preserve">Knowing a disclosure and receiving its practical claim are distinguishable. A person can understand a promise without trusting its giver, or acknowledge an injustice without correcting it. Catholic faith includes assent and personal entrustment, assisted by grace, as Dei Verbum §5 teaches. Prayer and moral formation can deepen attention and willingness without becoming substitutes for evidence. Their fruit can itself become relevant evidence, provided its causal and interpretive limits remain explicit.</w:t>
      </w:r>
    </w:p>
    <w:p>
      <w:pPr>
        <w:pStyle w:val="BodyText"/>
      </w:pPr>
      <w:r>
        <w:t xml:space="preserve">This gives the atlas a positive account of finite knowledge. What is received can become the knower’s genuine understanding and response without originating the truth received. Neither exhaustive comprehension nor automatic certainty is required. The final Christian promise of seeing God immediately also prevents mediation from becoming a universal barrier: finite reception is broader than representation. That promised fulfillment requires revelation and grace; the present argument establishes only that true access need not mean containment.</w:t>
      </w:r>
    </w:p>
    <w:bookmarkEnd w:id="205"/>
    <w:bookmarkStart w:id="216" w:name="core-questions-and-answers-1"/>
    <w:p>
      <w:pPr>
        <w:pStyle w:val="Heading2"/>
      </w:pPr>
      <w:r>
        <w:t xml:space="preserve">Core questions and answers</w:t>
      </w:r>
    </w:p>
    <w:bookmarkStart w:id="206" w:name="X750c1158c80ec23fe6078f86529f1ad799f595d"/>
    <w:p>
      <w:pPr>
        <w:pStyle w:val="Heading3"/>
      </w:pPr>
      <w:r>
        <w:t xml:space="preserve">Does everything that expresses God reveal a divine message?</w:t>
      </w:r>
    </w:p>
    <w:p>
      <w:pPr>
        <w:pStyle w:val="FirstParagraph"/>
      </w:pPr>
      <w:r>
        <w:t xml:space="preserve">No. A creature can express its source through a real received perfection without being specially sent to communicate a particular proposition. A beautiful landscape may provide grounds for reflection on order and goodness; it does not thereby promise that tomorrow’s journey will be safe. A personal message requires additional evidence of intentional communication and determinate content.</w:t>
      </w:r>
    </w:p>
    <w:p>
      <w:pPr>
        <w:pStyle w:val="BodyText"/>
      </w:pPr>
      <w:r>
        <w:t xml:space="preserve">The positive principle is that an effect may disclose exactly what its established relation makes available. A stronger conclusion requires a stronger bridge. This protects the world’s genuine expressive richness while resisting the habit of treating every coincidence, loss, or intense feeling as a coded instruction from God.</w:t>
      </w:r>
    </w:p>
    <w:bookmarkEnd w:id="206"/>
    <w:bookmarkStart w:id="208" w:name="expression-and-intentional-message"/>
    <w:p>
      <w:pPr>
        <w:pStyle w:val="Heading3"/>
      </w:pPr>
      <w:r>
        <w:t xml:space="preserve">Expression and intentional message</w:t>
      </w:r>
    </w:p>
    <w:p>
      <w:pPr>
        <w:pStyle w:val="FirstParagraph"/>
      </w:pPr>
      <w:r>
        <w:t xml:space="preserve">A distinction between ontological expression and communicative agency.</w:t>
      </w:r>
    </w:p>
    <w:p>
      <w:pPr>
        <w:pStyle w:val="BodyText"/>
      </w:pPr>
      <w:r>
        <w:t xml:space="preserve">Indispensable premises:</w:t>
      </w:r>
    </w:p>
    <w:p>
      <w:pPr>
        <w:pStyle w:val="Compact"/>
        <w:numPr>
          <w:ilvl w:val="0"/>
          <w:numId w:val="1027"/>
        </w:numPr>
      </w:pPr>
      <w:r>
        <w:t xml:space="preserve">The effect has a warranted relation to its source.</w:t>
      </w:r>
    </w:p>
    <w:p>
      <w:pPr>
        <w:pStyle w:val="Compact"/>
        <w:numPr>
          <w:ilvl w:val="0"/>
          <w:numId w:val="1027"/>
        </w:numPr>
      </w:pPr>
      <w:r>
        <w:t xml:space="preserve">A message additionally requires an intentional relation to a recipient and intelligible content.</w:t>
      </w:r>
    </w:p>
    <w:p>
      <w:pPr>
        <w:pStyle w:val="FirstParagraph"/>
      </w:pPr>
      <w:r>
        <w:t xml:space="preserve">Why accept the passage?</w:t>
      </w:r>
    </w:p>
    <w:p>
      <w:pPr>
        <w:pStyle w:val="BodyText"/>
      </w:pPr>
      <w:r>
        <w:t xml:space="preserve">A trace can reveal an agent without having been left to address anyone. The same distinction blocks inference from dependence alone to a specific divine instruction; intentional communication needs positive identifying evidence.</w:t>
      </w:r>
    </w:p>
    <w:p>
      <w:pPr>
        <w:pStyle w:val="BodyText"/>
      </w:pPr>
      <w:r>
        <w:t xml:space="preserve">What follows?</w:t>
      </w:r>
    </w:p>
    <w:p>
      <w:pPr>
        <w:pStyle w:val="BodyText"/>
      </w:pPr>
      <w:r>
        <w:t xml:space="preserve">Created expression can be real even where no special message is established.</w:t>
      </w:r>
    </w:p>
    <w:p>
      <w:pPr>
        <w:pStyle w:val="BodyText"/>
      </w:pPr>
      <w:r>
        <w:t xml:space="preserve">Remaining burden: A particular alleged message needs historical, causal, and interpretive assessment.</w:t>
      </w:r>
    </w:p>
    <w:p>
      <w:pPr>
        <w:pStyle w:val="BodyText"/>
      </w:pPr>
      <w:hyperlink r:id="rId160">
        <w:r>
          <w:rPr>
            <w:rStyle w:val="Hyperlink"/>
          </w:rPr>
          <w:t xml:space="preserve">Participation and expressive likeness</w:t>
        </w:r>
      </w:hyperlink>
      <w:r>
        <w:t xml:space="preserve"> </w:t>
      </w:r>
      <w:r>
        <w:t xml:space="preserve">·</w:t>
      </w:r>
      <w:r>
        <w:t xml:space="preserve"> </w:t>
      </w:r>
      <w:hyperlink r:id="rId207">
        <w:r>
          <w:rPr>
            <w:rStyle w:val="Hyperlink"/>
          </w:rPr>
          <w:t xml:space="preserve">Prayer and discernment</w:t>
        </w:r>
      </w:hyperlink>
    </w:p>
    <w:bookmarkEnd w:id="208"/>
    <w:bookmarkStart w:id="209" w:name="Xe9fedc4e90c02df81a8a8125eb02419362fe781"/>
    <w:p>
      <w:pPr>
        <w:pStyle w:val="Heading3"/>
      </w:pPr>
      <w:r>
        <w:t xml:space="preserve">Can a miracle provide evidence without proving an entire religion?</w:t>
      </w:r>
    </w:p>
    <w:p>
      <w:pPr>
        <w:pStyle w:val="FirstParagraph"/>
      </w:pPr>
      <w:r>
        <w:t xml:space="preserve">Yes. Evidence can be substantial and limited. A strongly supported cure in response to a specific invocation may count toward divine benefaction or the significance of that invocation while leaving unrelated doctrines unaddressed. The inference depends on what connects the event to the proposed conclusion, not on everything present in its social setting.</w:t>
      </w:r>
    </w:p>
    <w:p>
      <w:pPr>
        <w:pStyle w:val="BodyText"/>
      </w:pPr>
      <w:r>
        <w:t xml:space="preserve">A wider religious claim needs additional links connecting the sign with a person, mission, teaching, or authority. The Resurrection’s place in Christian proclamation is correspondingly specific: the claim concerns the vindication of the crucified Jesus and his mission. Evaluating that claim requires historical argument; the general grammar of miracle testimony does not supply the evidence by itself.</w:t>
      </w:r>
    </w:p>
    <w:bookmarkEnd w:id="209"/>
    <w:bookmarkStart w:id="212" w:name="X752217941d3bafe7d37e2cb0148c160118041ba"/>
    <w:p>
      <w:pPr>
        <w:pStyle w:val="Heading3"/>
      </w:pPr>
      <w:r>
        <w:t xml:space="preserve">Limited evidence and cumulative confirmation</w:t>
      </w:r>
    </w:p>
    <w:p>
      <w:pPr>
        <w:pStyle w:val="FirstParagraph"/>
      </w:pPr>
      <w:r>
        <w:t xml:space="preserve">A rule of evidential relevance rather than a presumption that a particular miracle occurred.</w:t>
      </w:r>
    </w:p>
    <w:p>
      <w:pPr>
        <w:pStyle w:val="BodyText"/>
      </w:pPr>
      <w:r>
        <w:t xml:space="preserve">Indispensable premises:</w:t>
      </w:r>
    </w:p>
    <w:p>
      <w:pPr>
        <w:pStyle w:val="Compact"/>
        <w:numPr>
          <w:ilvl w:val="0"/>
          <w:numId w:val="1028"/>
        </w:numPr>
      </w:pPr>
      <w:r>
        <w:t xml:space="preserve">The event and its connection to a proposed claim are independently assessed.</w:t>
      </w:r>
    </w:p>
    <w:p>
      <w:pPr>
        <w:pStyle w:val="Compact"/>
        <w:numPr>
          <w:ilvl w:val="0"/>
          <w:numId w:val="1028"/>
        </w:numPr>
      </w:pPr>
      <w:r>
        <w:t xml:space="preserve">A wider conclusion requires a further warranted relation to that claim.</w:t>
      </w:r>
    </w:p>
    <w:p>
      <w:pPr>
        <w:pStyle w:val="FirstParagraph"/>
      </w:pPr>
      <w:r>
        <w:t xml:space="preserve">Why accept the passage?</w:t>
      </w:r>
    </w:p>
    <w:p>
      <w:pPr>
        <w:pStyle w:val="BodyText"/>
      </w:pPr>
      <w:r>
        <w:t xml:space="preserve">Confirmation is transmitted through established connections. The rival of a real benefaction without broader endorsement defeats an unrestricted inference but need not defeat the narrower one.</w:t>
      </w:r>
    </w:p>
    <w:p>
      <w:pPr>
        <w:pStyle w:val="BodyText"/>
      </w:pPr>
      <w:r>
        <w:t xml:space="preserve">What follows?</w:t>
      </w:r>
    </w:p>
    <w:p>
      <w:pPr>
        <w:pStyle w:val="BodyText"/>
      </w:pPr>
      <w:r>
        <w:t xml:space="preserve">A genuine sign can contribute to a cumulative case without functioning as an unlimited endorsement.</w:t>
      </w:r>
    </w:p>
    <w:p>
      <w:pPr>
        <w:pStyle w:val="BodyText"/>
      </w:pPr>
      <w:r>
        <w:t xml:space="preserve">Remaining burden: Its actual strength depends on evidence, causal attribution, and the specific content at issue.</w:t>
      </w:r>
    </w:p>
    <w:p>
      <w:pPr>
        <w:pStyle w:val="BodyText"/>
      </w:pPr>
      <w:hyperlink r:id="rId210">
        <w:r>
          <w:rPr>
            <w:rStyle w:val="Hyperlink"/>
          </w:rPr>
          <w:t xml:space="preserve">Six judgments of miracle claims</w:t>
        </w:r>
      </w:hyperlink>
      <w:r>
        <w:t xml:space="preserve"> </w:t>
      </w:r>
      <w:r>
        <w:t xml:space="preserve">·</w:t>
      </w:r>
      <w:r>
        <w:t xml:space="preserve"> </w:t>
      </w:r>
      <w:hyperlink r:id="rId211">
        <w:r>
          <w:rPr>
            <w:rStyle w:val="Hyperlink"/>
          </w:rPr>
          <w:t xml:space="preserve">Extraordinary action and providence</w:t>
        </w:r>
      </w:hyperlink>
    </w:p>
    <w:bookmarkEnd w:id="212"/>
    <w:bookmarkStart w:id="213" w:name="X3de6c82c4afc0ba81d5e4fad436d04658249d91"/>
    <w:p>
      <w:pPr>
        <w:pStyle w:val="Heading3"/>
      </w:pPr>
      <w:r>
        <w:t xml:space="preserve">If God exceeds our concepts, can we still know something true?</w:t>
      </w:r>
    </w:p>
    <w:p>
      <w:pPr>
        <w:pStyle w:val="FirstParagraph"/>
      </w:pPr>
      <w:r>
        <w:t xml:space="preserve">Yes. Truthful apprehension does not require exhaustive comprehension. Someone can know that a friend is faithful without possessing a complete account of that person’s mind. In divine predication, the claim is stronger in its difference of mode: an independently warranted perfection can belong to God without the receptive and limited conditions under which creatures possess it.</w:t>
      </w:r>
    </w:p>
    <w:p>
      <w:pPr>
        <w:pStyle w:val="BodyText"/>
      </w:pPr>
      <w:r>
        <w:t xml:space="preserve">The indispensable discipline is preserving positive content and stating the warrant. Saying that God knows must exclude complete noncognition; saying that God is good must retain a real relation to goodness. Otherwise transcendence becomes an excuse for empty language. Analogy enables true, qualified affirmation once the attribution has been earned.</w:t>
      </w:r>
    </w:p>
    <w:bookmarkEnd w:id="213"/>
    <w:bookmarkStart w:id="215" w:name="X28a1ff57b87589e0dc4d8b47e516e53670d60c5"/>
    <w:p>
      <w:pPr>
        <w:pStyle w:val="Heading3"/>
      </w:pPr>
      <w:r>
        <w:t xml:space="preserve">True attribution without exhaustive capture</w:t>
      </w:r>
    </w:p>
    <w:p>
      <w:pPr>
        <w:pStyle w:val="FirstParagraph"/>
      </w:pPr>
      <w:r>
        <w:t xml:space="preserve">A conditional account of analogical predication.</w:t>
      </w:r>
    </w:p>
    <w:p>
      <w:pPr>
        <w:pStyle w:val="BodyText"/>
      </w:pPr>
      <w:r>
        <w:t xml:space="preserve">Indispensable premises:</w:t>
      </w:r>
    </w:p>
    <w:p>
      <w:pPr>
        <w:pStyle w:val="Compact"/>
        <w:numPr>
          <w:ilvl w:val="0"/>
          <w:numId w:val="1029"/>
        </w:numPr>
      </w:pPr>
      <w:r>
        <w:t xml:space="preserve">A positive perfection is independently attributable to God.</w:t>
      </w:r>
    </w:p>
    <w:p>
      <w:pPr>
        <w:pStyle w:val="Compact"/>
        <w:numPr>
          <w:ilvl w:val="0"/>
          <w:numId w:val="1029"/>
        </w:numPr>
      </w:pPr>
      <w:r>
        <w:t xml:space="preserve">Its creaturely receptive mode is distinguishable from its positive content.</w:t>
      </w:r>
    </w:p>
    <w:p>
      <w:pPr>
        <w:pStyle w:val="Compact"/>
        <w:numPr>
          <w:ilvl w:val="0"/>
          <w:numId w:val="1029"/>
        </w:numPr>
      </w:pPr>
      <w:r>
        <w:t xml:space="preserve">Other arguments establish that the source does not receive that perfection.</w:t>
      </w:r>
    </w:p>
    <w:p>
      <w:pPr>
        <w:pStyle w:val="FirstParagraph"/>
      </w:pPr>
      <w:r>
        <w:t xml:space="preserve">Why accept the passage?</w:t>
      </w:r>
    </w:p>
    <w:p>
      <w:pPr>
        <w:pStyle w:val="BodyText"/>
      </w:pPr>
      <w:r>
        <w:t xml:space="preserve">Denying an unsuitable mode does not negate the positive content unless the two are inseparable. The rival must therefore show that the proposed perfection cannot be understood apart from its finite mode.</w:t>
      </w:r>
    </w:p>
    <w:p>
      <w:pPr>
        <w:pStyle w:val="BodyText"/>
      </w:pPr>
      <w:r>
        <w:t xml:space="preserve">What follows?</w:t>
      </w:r>
    </w:p>
    <w:p>
      <w:pPr>
        <w:pStyle w:val="BodyText"/>
      </w:pPr>
      <w:r>
        <w:t xml:space="preserve">The attribution can be both true and qualified without placing God under a shared constitutive measure.</w:t>
      </w:r>
    </w:p>
    <w:p>
      <w:pPr>
        <w:pStyle w:val="BodyText"/>
      </w:pPr>
      <w:r>
        <w:t xml:space="preserve">Remaining burden: Every proposed pure perfection requires its own defense; analogy does not establish the attribution in advance.</w:t>
      </w:r>
    </w:p>
    <w:p>
      <w:pPr>
        <w:pStyle w:val="BodyText"/>
      </w:pPr>
      <w:hyperlink r:id="rId161">
        <w:r>
          <w:rPr>
            <w:rStyle w:val="Hyperlink"/>
          </w:rPr>
          <w:t xml:space="preserve">Source, simplicity, and positive perfection</w:t>
        </w:r>
      </w:hyperlink>
      <w:r>
        <w:t xml:space="preserve"> </w:t>
      </w:r>
      <w:r>
        <w:t xml:space="preserve">·</w:t>
      </w:r>
      <w:r>
        <w:t xml:space="preserve"> </w:t>
      </w:r>
      <w:hyperlink r:id="rId214">
        <w:r>
          <w:rPr>
            <w:rStyle w:val="Hyperlink"/>
          </w:rPr>
          <w:t xml:space="preserve">Immediate vision without comprehension</w:t>
        </w:r>
      </w:hyperlink>
    </w:p>
    <w:bookmarkEnd w:id="215"/>
    <w:bookmarkEnd w:id="216"/>
    <w:bookmarkStart w:id="222" w:name="sources-and-precise-use-1"/>
    <w:p>
      <w:pPr>
        <w:pStyle w:val="Heading2"/>
      </w:pPr>
      <w:r>
        <w:t xml:space="preserve">Sources and precise use</w:t>
      </w:r>
    </w:p>
    <w:bookmarkStart w:id="217" w:name="second-vatican-council-dei-verbum"/>
    <w:p>
      <w:pPr>
        <w:pStyle w:val="Heading3"/>
      </w:pPr>
      <w:r>
        <w:t xml:space="preserve">Second Vatican Council: Dei Verbum</w:t>
      </w:r>
    </w:p>
    <w:p>
      <w:pPr>
        <w:pStyle w:val="FirstParagraph"/>
      </w:pPr>
      <w:r>
        <w:t xml:space="preserve">Locus: §§2–6, 10–12.</w:t>
      </w:r>
    </w:p>
    <w:p>
      <w:pPr>
        <w:pStyle w:val="BodyText"/>
      </w:pPr>
      <w:r>
        <w:t xml:space="preserve">Status: Supplied primary text: selected passages consulted.</w:t>
      </w:r>
    </w:p>
    <w:p>
      <w:pPr>
        <w:pStyle w:val="BodyText"/>
      </w:pPr>
      <w:r>
        <w:t xml:space="preserve">Contribution: Christological fullness, deeds and words, faith, genuine human authorship, interpretation, and the teaching office’s service to the word.</w:t>
      </w:r>
    </w:p>
    <w:p>
      <w:pPr>
        <w:pStyle w:val="BodyText"/>
      </w:pPr>
      <w:r>
        <w:t xml:space="preserve">Limit: These are Catholic theological premises; they are not neutral historical proofs that a particular revelation occurred.</w:t>
      </w:r>
    </w:p>
    <w:p>
      <w:pPr>
        <w:pStyle w:val="BodyText"/>
      </w:pPr>
      <w:r>
        <w:t xml:space="preserve">Source/provenance: https://www.vatican.va/archive/hist_councils/ii_vatican_council/documents/vat-ii_const_19651118_dei-verbum_en.html</w:t>
      </w:r>
    </w:p>
    <w:bookmarkEnd w:id="217"/>
    <w:bookmarkStart w:id="218" w:name="Xc80487c5ff313db5fb16b78bf78cea70b0c32dd"/>
    <w:p>
      <w:pPr>
        <w:pStyle w:val="Heading3"/>
      </w:pPr>
      <w:r>
        <w:t xml:space="preserve">Catholic Church: Catechism of the Catholic Church</w:t>
      </w:r>
    </w:p>
    <w:p>
      <w:pPr>
        <w:pStyle w:val="FirstParagraph"/>
      </w:pPr>
      <w:r>
        <w:t xml:space="preserve">Locus: §§156, 548, 1508.</w:t>
      </w:r>
    </w:p>
    <w:p>
      <w:pPr>
        <w:pStyle w:val="BodyText"/>
      </w:pPr>
      <w:r>
        <w:t xml:space="preserve">Status: Supplied primary text: selected passages consulted.</w:t>
      </w:r>
    </w:p>
    <w:p>
      <w:pPr>
        <w:pStyle w:val="BodyText"/>
      </w:pPr>
      <w:r>
        <w:t xml:space="preserve">Contribution: Motives of credibility, Christ’s signs, and the refusal to equate intense prayer with guaranteed healing.</w:t>
      </w:r>
    </w:p>
    <w:p>
      <w:pPr>
        <w:pStyle w:val="BodyText"/>
      </w:pPr>
      <w:r>
        <w:t xml:space="preserve">Limit: The doctrinal account does not establish the facts of an individual reported miracle.</w:t>
      </w:r>
    </w:p>
    <w:p>
      <w:pPr>
        <w:pStyle w:val="BodyText"/>
      </w:pPr>
      <w:r>
        <w:t xml:space="preserve">Source/provenance: https://www.vatican.va/archive/ENG0015/_INDEX.HTM</w:t>
      </w:r>
    </w:p>
    <w:bookmarkEnd w:id="218"/>
    <w:bookmarkStart w:id="219" w:name="X1ae053d79d8031cf4af7abdfbf39aaf0100bf84"/>
    <w:p>
      <w:pPr>
        <w:pStyle w:val="Heading3"/>
      </w:pPr>
      <w:r>
        <w:t xml:space="preserve">Robyn Horner: Jean-Luc Marion: A Theo-logical Introduction</w:t>
      </w:r>
    </w:p>
    <w:p>
      <w:pPr>
        <w:pStyle w:val="FirstParagraph"/>
      </w:pPr>
      <w:r>
        <w:t xml:space="preserve">Locus: pp.132–33, discussion of revelation and Revelation.</w:t>
      </w:r>
    </w:p>
    <w:p>
      <w:pPr>
        <w:pStyle w:val="BodyText"/>
      </w:pPr>
      <w:r>
        <w:t xml:space="preserve">Status: Supplied secondary text: selected passages consulted.</w:t>
      </w:r>
    </w:p>
    <w:p>
      <w:pPr>
        <w:pStyle w:val="BodyText"/>
      </w:pPr>
      <w:r>
        <w:t xml:space="preserve">Contribution: Marion’s possibility/actuality distinction and Horner’s criticism of how it is maintained.</w:t>
      </w:r>
    </w:p>
    <w:p>
      <w:pPr>
        <w:pStyle w:val="BodyText"/>
      </w:pPr>
      <w:r>
        <w:t xml:space="preserve">Limit: Horner is the author of this secondary interpretation. It does not independently establish divine causation or an actual revelation.</w:t>
      </w:r>
    </w:p>
    <w:p>
      <w:pPr>
        <w:pStyle w:val="BodyText"/>
      </w:pPr>
      <w:r>
        <w:t xml:space="preserve">Source/provenance: https://search.worldcat.org/search?q=Jean-Luc+Marion+A+Theo-logical+Introduction+Horner</w:t>
      </w:r>
    </w:p>
    <w:bookmarkEnd w:id="219"/>
    <w:bookmarkStart w:id="220" w:name="X38f11a3a7b8d12bfee2c24935a4033e180807a1"/>
    <w:p>
      <w:pPr>
        <w:pStyle w:val="Heading3"/>
      </w:pPr>
      <w:r>
        <w:t xml:space="preserve">John Scotus Eriugena: Periphyseon, translated by I. P. Sheldon-Williams, revised by John J. O’Meara (1987)</w:t>
      </w:r>
    </w:p>
    <w:p>
      <w:pPr>
        <w:pStyle w:val="FirstParagraph"/>
      </w:pPr>
      <w:r>
        <w:t xml:space="preserve">Locus: I, 449A–450B; III, 678C–D.</w:t>
      </w:r>
    </w:p>
    <w:p>
      <w:pPr>
        <w:pStyle w:val="BodyText"/>
      </w:pPr>
      <w:r>
        <w:t xml:space="preserve">Status: Supplied primary text: selected passages consulted.</w:t>
      </w:r>
    </w:p>
    <w:p>
      <w:pPr>
        <w:pStyle w:val="BodyText"/>
      </w:pPr>
      <w:r>
        <w:t xml:space="preserve">Contribution: Theophany as transformed reception and the stronger divine self-manifestation language requiring critical assessment.</w:t>
      </w:r>
    </w:p>
    <w:p>
      <w:pPr>
        <w:pStyle w:val="BodyText"/>
      </w:pPr>
      <w:r>
        <w:t xml:space="preserve">Limit: The present constructive retrieval is not a claim that Eriugena consistently states the atlas’s Creator–creature distinction.</w:t>
      </w:r>
    </w:p>
    <w:p>
      <w:pPr>
        <w:pStyle w:val="BodyText"/>
      </w:pPr>
      <w:r>
        <w:t xml:space="preserve">Source/provenance: https://search.worldcat.org/search?q=Periphyseon+O%27Meara+1987</w:t>
      </w:r>
    </w:p>
    <w:bookmarkEnd w:id="220"/>
    <w:bookmarkStart w:id="221" w:name="Xb2fa42c5b463c6441c5eef95288e60dc84e53e8"/>
    <w:p>
      <w:pPr>
        <w:pStyle w:val="Heading3"/>
      </w:pPr>
      <w:r>
        <w:t xml:space="preserve">Robert Dryer: Handbook on Miracles; supplied Miracle and Divine Testimony manuscript</w:t>
      </w:r>
    </w:p>
    <w:p>
      <w:pPr>
        <w:pStyle w:val="FirstParagraph"/>
      </w:pPr>
      <w:r>
        <w:t xml:space="preserve">Locus: Supplied manuscript chs.14, 24–28 and Appendix D; handbook as further reading.</w:t>
      </w:r>
    </w:p>
    <w:p>
      <w:pPr>
        <w:pStyle w:val="BodyText"/>
      </w:pPr>
      <w:r>
        <w:t xml:space="preserve">Status: Supplied constructive manuscript: selected sections consulted; linked handbook live access not freshly verified.</w:t>
      </w:r>
    </w:p>
    <w:p>
      <w:pPr>
        <w:pStyle w:val="BodyText"/>
      </w:pPr>
      <w:r>
        <w:t xml:space="preserve">Contribution: Six modern analytical judgments, bounded attestation, symmetrical evidential standards, hiddenness, and comparison with Lambertini.</w:t>
      </w:r>
    </w:p>
    <w:p>
      <w:pPr>
        <w:pStyle w:val="BodyText"/>
      </w:pPr>
      <w:r>
        <w:t xml:space="preserve">Limit: The manuscript’s historical quotations are not automatically fresh verification of their original editions; the six labels are constructive reconstruction.</w:t>
      </w:r>
    </w:p>
    <w:p>
      <w:pPr>
        <w:pStyle w:val="BodyText"/>
      </w:pPr>
      <w:r>
        <w:t xml:space="preserve">Source/provenance: https://robertdryer.com/dictionary-of-theology/handbook-on-miracles/</w:t>
      </w:r>
    </w:p>
    <w:bookmarkEnd w:id="221"/>
    <w:bookmarkEnd w:id="222"/>
    <w:bookmarkStart w:id="225" w:name="where-this-argument-matters-1"/>
    <w:p>
      <w:pPr>
        <w:pStyle w:val="Heading2"/>
      </w:pPr>
      <w:r>
        <w:t xml:space="preserve">Where this argument matters</w:t>
      </w:r>
    </w:p>
    <w:p>
      <w:pPr>
        <w:pStyle w:val="Compact"/>
        <w:numPr>
          <w:ilvl w:val="0"/>
          <w:numId w:val="1030"/>
        </w:numPr>
      </w:pPr>
      <w:hyperlink r:id="rId223">
        <w:r>
          <w:rPr>
            <w:rStyle w:val="Hyperlink"/>
          </w:rPr>
          <w:t xml:space="preserve">Incarnation</w:t>
        </w:r>
      </w:hyperlink>
      <w:r>
        <w:t xml:space="preserve">: The theological claim concerns a divine person living a genuine human history, beyond the general possibility of manifestation.</w:t>
      </w:r>
    </w:p>
    <w:p>
      <w:pPr>
        <w:pStyle w:val="Compact"/>
        <w:numPr>
          <w:ilvl w:val="0"/>
          <w:numId w:val="1030"/>
        </w:numPr>
      </w:pPr>
      <w:hyperlink r:id="rId211">
        <w:r>
          <w:rPr>
            <w:rStyle w:val="Hyperlink"/>
          </w:rPr>
          <w:t xml:space="preserve">Providence and Evil</w:t>
        </w:r>
      </w:hyperlink>
      <w:r>
        <w:t xml:space="preserve">: Miracle causation, unhealed suffering, prayer, and hiddenness test the interpretation of divine action.</w:t>
      </w:r>
    </w:p>
    <w:p>
      <w:pPr>
        <w:pStyle w:val="Compact"/>
        <w:numPr>
          <w:ilvl w:val="0"/>
          <w:numId w:val="1030"/>
        </w:numPr>
      </w:pPr>
      <w:hyperlink r:id="rId224">
        <w:r>
          <w:rPr>
            <w:rStyle w:val="Hyperlink"/>
          </w:rPr>
          <w:t xml:space="preserve">Church and Sacrament</w:t>
        </w:r>
      </w:hyperlink>
      <w:r>
        <w:t xml:space="preserve">: Sacramental efficacy and ecclesial authority require distinct warrants rather than extension from extraordinary appearances.</w:t>
      </w:r>
    </w:p>
    <w:p>
      <w:r>
        <w:pict>
          <v:rect style="width:0;height:1.5pt" o:hralign="center" o:hrstd="t" o:hr="t"/>
        </w:pict>
      </w:r>
    </w:p>
    <w:bookmarkEnd w:id="225"/>
    <w:bookmarkEnd w:id="226"/>
    <w:bookmarkStart w:id="253" w:name="goodness-finality-and-fulfillment"/>
    <w:p>
      <w:pPr>
        <w:pStyle w:val="Heading1"/>
      </w:pPr>
      <w:r>
        <w:t xml:space="preserve">6. Goodness, Finality, and Fulfillment</w:t>
      </w:r>
    </w:p>
    <w:p>
      <w:pPr>
        <w:pStyle w:val="FirstParagraph"/>
      </w:pPr>
      <w:r>
        <w:t xml:space="preserve">What makes something genuinely good for a subject, and how can fulfillment perfect finite life while preserving the one who receives it?</w:t>
      </w:r>
    </w:p>
    <w:p>
      <w:pPr>
        <w:pStyle w:val="BodyText"/>
      </w:pPr>
      <w:r>
        <w:t xml:space="preserve">A power can be real and efficiently exercised while being used badly. A life can continue while its characteristic goods are damaged. Goodness therefore adds an indispensable question to actuality and causation: what would appropriately perfect this subject, and what deserves pursuit or protection?</w:t>
      </w:r>
    </w:p>
    <w:p>
      <w:pPr>
        <w:pStyle w:val="BodyText"/>
      </w:pPr>
      <w:r>
        <w:t xml:space="preserve">The proposal here is that fulfillment actualizes fitting goods without erasing the creature. Some finite conditions are defects, others constitute particular goods, and still others are adverse occasions for good responses. Distinguishing them allows a participatory metaphysics to affirm real creaturely achievement, resist the romanticization of suffering, and describe communion as perfected difference rather than disappearance.</w:t>
      </w:r>
    </w:p>
    <w:bookmarkStart w:id="227" w:name="what-this-page-uses-2"/>
    <w:p>
      <w:pPr>
        <w:pStyle w:val="Heading2"/>
      </w:pPr>
      <w:r>
        <w:t xml:space="preserve">What this page uses</w:t>
      </w:r>
    </w:p>
    <w:p>
      <w:pPr>
        <w:pStyle w:val="Compact"/>
        <w:numPr>
          <w:ilvl w:val="0"/>
          <w:numId w:val="1031"/>
        </w:numPr>
      </w:pPr>
      <w:hyperlink r:id="rId160">
        <w:r>
          <w:rPr>
            <w:rStyle w:val="Hyperlink"/>
          </w:rPr>
          <w:t xml:space="preserve">Participation</w:t>
        </w:r>
      </w:hyperlink>
      <w:r>
        <w:t xml:space="preserve">: Dependent possession explains how a good is received; finality requires the further account of why it fulfills this participant.</w:t>
      </w:r>
    </w:p>
    <w:p>
      <w:pPr>
        <w:pStyle w:val="Compact"/>
        <w:numPr>
          <w:ilvl w:val="0"/>
          <w:numId w:val="1031"/>
        </w:numPr>
      </w:pPr>
      <w:hyperlink r:id="rId193">
        <w:r>
          <w:rPr>
            <w:rStyle w:val="Hyperlink"/>
          </w:rPr>
          <w:t xml:space="preserve">Reality, Determination, and Relation</w:t>
        </w:r>
      </w:hyperlink>
      <w:r>
        <w:t xml:space="preserve">: Actuality, positive perfection, and normative goodness must be distinguished.</w:t>
      </w:r>
    </w:p>
    <w:p>
      <w:pPr>
        <w:pStyle w:val="Compact"/>
        <w:numPr>
          <w:ilvl w:val="0"/>
          <w:numId w:val="1031"/>
        </w:numPr>
      </w:pPr>
      <w:hyperlink r:id="rId162">
        <w:r>
          <w:rPr>
            <w:rStyle w:val="Hyperlink"/>
          </w:rPr>
          <w:t xml:space="preserve">Divine Agency</w:t>
        </w:r>
      </w:hyperlink>
      <w:r>
        <w:t xml:space="preserve">: Reasons and effective action need an account of goods without reducing free choice to mechanical optimization.</w:t>
      </w:r>
    </w:p>
    <w:bookmarkEnd w:id="227"/>
    <w:bookmarkStart w:id="228" w:name="what-it-undertakes-to-establish-2"/>
    <w:p>
      <w:pPr>
        <w:pStyle w:val="Heading2"/>
      </w:pPr>
      <w:r>
        <w:t xml:space="preserve">What it undertakes to establish</w:t>
      </w:r>
    </w:p>
    <w:p>
      <w:pPr>
        <w:pStyle w:val="Compact"/>
        <w:numPr>
          <w:ilvl w:val="0"/>
          <w:numId w:val="1032"/>
        </w:numPr>
      </w:pPr>
      <w:r>
        <w:t xml:space="preserve">Goodness involves fitting perfection and reasons for action, rather than actuality or efficacy alone.</w:t>
      </w:r>
    </w:p>
    <w:p>
      <w:pPr>
        <w:pStyle w:val="Compact"/>
        <w:numPr>
          <w:ilvl w:val="0"/>
          <w:numId w:val="1032"/>
        </w:numPr>
      </w:pPr>
      <w:r>
        <w:t xml:space="preserve">Finite conditions require a threefold test: defect, constitutive condition of a finite good, or adverse occasion for a good response.</w:t>
      </w:r>
    </w:p>
    <w:p>
      <w:pPr>
        <w:pStyle w:val="Compact"/>
        <w:numPr>
          <w:ilvl w:val="0"/>
          <w:numId w:val="1032"/>
        </w:numPr>
      </w:pPr>
      <w:r>
        <w:t xml:space="preserve">Fulfilled participation can preserve genuine creaturely life, agency, history, and interpersonal distinction.</w:t>
      </w:r>
    </w:p>
    <w:bookmarkEnd w:id="228"/>
    <w:bookmarkStart w:id="230" w:name="Xbca83859b55ee75781ddd8083c3998a51a7211f"/>
    <w:p>
      <w:pPr>
        <w:pStyle w:val="Heading2"/>
      </w:pPr>
      <w:r>
        <w:t xml:space="preserve">The good requires a subject and a warrant</w:t>
      </w:r>
    </w:p>
    <w:p>
      <w:pPr>
        <w:pStyle w:val="FirstParagraph"/>
      </w:pPr>
      <w:r>
        <w:t xml:space="preserve">Status: Philosophical argument; normative premise stated.</w:t>
      </w:r>
    </w:p>
    <w:p>
      <w:pPr>
        <w:pStyle w:val="BodyText"/>
      </w:pPr>
      <w:r>
        <w:t xml:space="preserve">A good eye enables sight; a good diagnosis tracks the patient’s condition; good care serves the person rather than the institution’s convenience. These judgments identify standards appropriate to what something is and does. They can correct desire: a patient can want a harmful dose, and an institution can reward a misleading report. What is wanted and what is good are therefore distinguishable, even when desire responds appropriately to genuine goods.</w:t>
      </w:r>
    </w:p>
    <w:p>
      <w:pPr>
        <w:pStyle w:val="BodyText"/>
      </w:pPr>
      <w:r>
        <w:t xml:space="preserve">A normative bridge remains indispensable. Human understanding, bodily integrity, friendship, and responsible action count as reasons for protection because they perfect subjects whose lives matter. This premise is supported by reflective judgments about flourishing and injury, not deduced from a bare inventory of events. An informed-preference rival can reject immediate satisfaction as its standard. It still needs to explain why correcting preferences should answer to the subject’s flourishing, and whether that introduces the independent goods it sought to reduce.</w:t>
      </w:r>
    </w:p>
    <w:bookmarkStart w:id="229" w:name="fitting-perfection-supplies-a-reason"/>
    <w:p>
      <w:pPr>
        <w:pStyle w:val="Heading3"/>
      </w:pPr>
      <w:r>
        <w:t xml:space="preserve">Fitting perfection supplies a reason</w:t>
      </w:r>
    </w:p>
    <w:p>
      <w:pPr>
        <w:pStyle w:val="FirstParagraph"/>
      </w:pPr>
      <w:r>
        <w:t xml:space="preserve">A substantive normative principle, defended through the intelligibility of benefit and injury.</w:t>
      </w:r>
    </w:p>
    <w:p>
      <w:pPr>
        <w:pStyle w:val="BodyText"/>
      </w:pPr>
      <w:r>
        <w:t xml:space="preserve">Indispensable premises:</w:t>
      </w:r>
    </w:p>
    <w:p>
      <w:pPr>
        <w:pStyle w:val="Compact"/>
        <w:numPr>
          <w:ilvl w:val="0"/>
          <w:numId w:val="1033"/>
        </w:numPr>
      </w:pPr>
      <w:r>
        <w:t xml:space="preserve">Living and personal subjects have capacities and relationships whose flourishing or frustration makes a difference to their own lives.</w:t>
      </w:r>
    </w:p>
    <w:p>
      <w:pPr>
        <w:pStyle w:val="Compact"/>
        <w:numPr>
          <w:ilvl w:val="0"/>
          <w:numId w:val="1033"/>
        </w:numPr>
      </w:pPr>
      <w:r>
        <w:t xml:space="preserve">Such fitting goods give defeasible reasons for protection and pursuit, independently of a particular observer’s convenience.</w:t>
      </w:r>
    </w:p>
    <w:p>
      <w:pPr>
        <w:pStyle w:val="FirstParagraph"/>
      </w:pPr>
      <w:r>
        <w:t xml:space="preserve">Why accept the passage?</w:t>
      </w:r>
    </w:p>
    <w:p>
      <w:pPr>
        <w:pStyle w:val="BodyText"/>
      </w:pPr>
      <w:r>
        <w:t xml:space="preserve">The distinction between care and concealed harm remains intelligible even when power or preference favors the harm. Denying every independent standard weakens the possibility of correcting manipulation on the recipient’s behalf. Preference theories can contest this argument, but must account for that corrective authority.</w:t>
      </w:r>
    </w:p>
    <w:p>
      <w:pPr>
        <w:pStyle w:val="BodyText"/>
      </w:pPr>
      <w:r>
        <w:t xml:space="preserve">What follows?</w:t>
      </w:r>
    </w:p>
    <w:p>
      <w:pPr>
        <w:pStyle w:val="BodyText"/>
      </w:pPr>
      <w:r>
        <w:t xml:space="preserve">Appropriate flourishing is a source of reasons, while concrete practical judgments still require attention to competing goods, duties, and circumstances.</w:t>
      </w:r>
    </w:p>
    <w:p>
      <w:pPr>
        <w:pStyle w:val="BodyText"/>
      </w:pPr>
      <w:r>
        <w:t xml:space="preserve">Remaining burden: This does not derive a complete moral theory or the supernatural end of humanity from biological function.</w:t>
      </w:r>
    </w:p>
    <w:bookmarkEnd w:id="229"/>
    <w:bookmarkEnd w:id="230"/>
    <w:bookmarkStart w:id="231" w:name="Xea8f9391b270182958fc65e2511813a8b949e93"/>
    <w:p>
      <w:pPr>
        <w:pStyle w:val="Heading2"/>
      </w:pPr>
      <w:r>
        <w:t xml:space="preserve">Reality and efficacy are not moral approval</w:t>
      </w:r>
    </w:p>
    <w:p>
      <w:pPr>
        <w:pStyle w:val="FirstParagraph"/>
      </w:pPr>
      <w:r>
        <w:t xml:space="preserve">Status: Philosophical argument.</w:t>
      </w:r>
    </w:p>
    <w:p>
      <w:pPr>
        <w:pStyle w:val="BodyText"/>
      </w:pPr>
      <w:r>
        <w:t xml:space="preserve">Cruelty requires real intelligence, bodily power, and successful action. These positive capacities explain how harm is possible; their actuality does not make their harmful direction morally good. A capable liar can produce an excellent deception as measured by the liar’s immediate objective. Practical success therefore needs evaluation by the goods and obligations relevant to the whole act, its object, and the persons affected.</w:t>
      </w:r>
    </w:p>
    <w:p>
      <w:pPr>
        <w:pStyle w:val="BodyText"/>
      </w:pPr>
      <w:r>
        <w:t xml:space="preserve">The classical claim that being and goodness are convertible concerns the positive perfection of actuality, not the moral innocence of everything that occurs. An account of evil as privation locates disorder in a missing fitting good or order, rather than a second ultimate substance competing with God. But the absence has to be specified. Pain, injury, wrongdoing, and moral responsibility cannot be explained adequately by merely repeating that evil is a lack.</w:t>
      </w:r>
    </w:p>
    <w:bookmarkEnd w:id="231"/>
    <w:bookmarkStart w:id="233" w:name="three-different-meanings-of-a-limit"/>
    <w:p>
      <w:pPr>
        <w:pStyle w:val="Heading2"/>
      </w:pPr>
      <w:r>
        <w:t xml:space="preserve">Three different meanings of a limit</w:t>
      </w:r>
    </w:p>
    <w:p>
      <w:pPr>
        <w:pStyle w:val="FirstParagraph"/>
      </w:pPr>
      <w:r>
        <w:t xml:space="preserve">Status: Constructive philosophical distinction.</w:t>
      </w:r>
    </w:p>
    <w:p>
      <w:pPr>
        <w:pStyle w:val="BodyText"/>
      </w:pPr>
      <w:r>
        <w:t xml:space="preserve">First, a limit can be a defect relative to a good: a distorted note damages a performance, and ignorance obstructs understanding. Second, a finite condition can help constitute a good: melody requires succession, conversation requires differentiated speakers, and learning includes a real passage into understanding. Removing distortion improves the melody; sounding every note simultaneously abolishes that melody. Removing a limit does not always give more of the same good.</w:t>
      </w:r>
    </w:p>
    <w:p>
      <w:pPr>
        <w:pStyle w:val="BodyText"/>
      </w:pPr>
      <w:r>
        <w:t xml:space="preserve">Third, an adverse condition can occasion a good response. Courage confronts danger; forgiveness answers injury; healing answers illness. The response can be genuinely excellent without making its occasion desirable. A parent’s loving care does not make the child’s illness good. This prevents the appeal to meaningful outcomes from becoming a license to manufacture suffering or to tell victims that their injury was necessary for someone else’s moral development.</w:t>
      </w:r>
    </w:p>
    <w:bookmarkStart w:id="232" w:name="X0fd91c223172e2e0f789359a023626f3d698c0d"/>
    <w:p>
      <w:pPr>
        <w:pStyle w:val="Heading3"/>
      </w:pPr>
      <w:r>
        <w:t xml:space="preserve">Test the limit by the identity of the good</w:t>
      </w:r>
    </w:p>
    <w:p>
      <w:pPr>
        <w:pStyle w:val="FirstParagraph"/>
      </w:pPr>
      <w:r>
        <w:t xml:space="preserve">A case-sensitive diagnostic, not a blanket justification of finitude.</w:t>
      </w:r>
    </w:p>
    <w:p>
      <w:pPr>
        <w:pStyle w:val="BodyText"/>
      </w:pPr>
      <w:r>
        <w:t xml:space="preserve">Indispensable premises:</w:t>
      </w:r>
    </w:p>
    <w:p>
      <w:pPr>
        <w:pStyle w:val="Compact"/>
        <w:numPr>
          <w:ilvl w:val="0"/>
          <w:numId w:val="1034"/>
        </w:numPr>
      </w:pPr>
      <w:r>
        <w:t xml:space="preserve">A good has a determinate character that distinguishes it from other goods.</w:t>
      </w:r>
    </w:p>
    <w:p>
      <w:pPr>
        <w:pStyle w:val="Compact"/>
        <w:numPr>
          <w:ilvl w:val="0"/>
          <w:numId w:val="1034"/>
        </w:numPr>
      </w:pPr>
      <w:r>
        <w:t xml:space="preserve">Removing a condition can either improve that good, replace it with another kind of good, or remove the adversity to which a good response was directed.</w:t>
      </w:r>
    </w:p>
    <w:p>
      <w:pPr>
        <w:pStyle w:val="FirstParagraph"/>
      </w:pPr>
      <w:r>
        <w:t xml:space="preserve">Why accept the passage?</w:t>
      </w:r>
    </w:p>
    <w:p>
      <w:pPr>
        <w:pStyle w:val="BodyText"/>
      </w:pPr>
      <w:r>
        <w:t xml:space="preserve">Distortion, succession, and danger play these different roles in music and courage. Treating all three simply as limitations loses explanatory information. The rival claim that every finite good is merely a defective infinite good must explain why eliminating succession destroys a melody rather than perfecting that same performance.</w:t>
      </w:r>
    </w:p>
    <w:p>
      <w:pPr>
        <w:pStyle w:val="BodyText"/>
      </w:pPr>
      <w:r>
        <w:t xml:space="preserve">What follows?</w:t>
      </w:r>
    </w:p>
    <w:p>
      <w:pPr>
        <w:pStyle w:val="BodyText"/>
      </w:pPr>
      <w:r>
        <w:t xml:space="preserve">Defects can be opposed, positive finite forms affirmed, and admirable responses honored without approving the harms that occasion them.</w:t>
      </w:r>
    </w:p>
    <w:p>
      <w:pPr>
        <w:pStyle w:val="BodyText"/>
      </w:pPr>
      <w:r>
        <w:t xml:space="preserve">Remaining burden: The test does not prove that every present finite condition survives resurrection or identify God’s reason for permitting a particular evil.</w:t>
      </w:r>
    </w:p>
    <w:bookmarkEnd w:id="232"/>
    <w:bookmarkEnd w:id="233"/>
    <w:bookmarkStart w:id="234" w:name="finality-concerns-what-powers-are-for"/>
    <w:p>
      <w:pPr>
        <w:pStyle w:val="Heading2"/>
      </w:pPr>
      <w:r>
        <w:t xml:space="preserve">Finality concerns what powers are for</w:t>
      </w:r>
    </w:p>
    <w:p>
      <w:pPr>
        <w:pStyle w:val="FirstParagraph"/>
      </w:pPr>
      <w:r>
        <w:t xml:space="preserve">Status: Philosophical interpretation; disputed explanatory bridge.</w:t>
      </w:r>
    </w:p>
    <w:p>
      <w:pPr>
        <w:pStyle w:val="BodyText"/>
      </w:pPr>
      <w:r>
        <w:t xml:space="preserve">A heart’s activity can be described chemically and mechanically while also being assessed by whether it sustains circulation. This distinction between function and malfunction adds an explanatory question: what outcome belongs to the organized power as its fitting exercise? Finality need not mean conscious planning inside the organ. Natural processes and deliberating agents can be directed toward outcomes in importantly different ways.</w:t>
      </w:r>
    </w:p>
    <w:p>
      <w:pPr>
        <w:pStyle w:val="BodyText"/>
      </w:pPr>
      <w:r>
        <w:t xml:space="preserve">One argument for natural finality begins with stable organized capacities and their contrast between success and failure. Their characteristic outcomes make the processes intelligible as activities of this kind of living whole. Evolutionary explanations can explain how such organization arose without automatically eliminating its present functions. Nevertheless, a stronger claim that every natural regularity expresses an intrinsic end requires further defense. The good of a living subject is the immediate foothold, not a proof of cosmic purpose from every pattern.</w:t>
      </w:r>
    </w:p>
    <w:bookmarkEnd w:id="234"/>
    <w:bookmarkStart w:id="235" w:name="Xe4f2b0a257cb5595073287cf570c8627bded8db"/>
    <w:p>
      <w:pPr>
        <w:pStyle w:val="Heading2"/>
      </w:pPr>
      <w:r>
        <w:t xml:space="preserve">Goods guide freedom without choosing in its place</w:t>
      </w:r>
    </w:p>
    <w:p>
      <w:pPr>
        <w:pStyle w:val="FirstParagraph"/>
      </w:pPr>
      <w:r>
        <w:t xml:space="preserve">Status: Philosophical argument; agency premise required.</w:t>
      </w:r>
    </w:p>
    <w:p>
      <w:pPr>
        <w:pStyle w:val="BodyText"/>
      </w:pPr>
      <w:r>
        <w:t xml:space="preserve">Reasons can favor more than one good course. A person may have sound reasons to pursue medicine or teaching without one profession being mandated by the total amount of goodness in the universe. An account of rational freedom therefore distinguishes an intelligible reason from a necessitating explanation. Actual choice still requires the agent’s exercise; listing attractive possibilities does not explain which one is undertaken.</w:t>
      </w:r>
    </w:p>
    <w:p>
      <w:pPr>
        <w:pStyle w:val="BodyText"/>
      </w:pPr>
      <w:r>
        <w:t xml:space="preserve">Theological application requires an additional doctrine of divine freedom. God’s goodness does not by itself entail that every possible good must be created or that one world uniquely completes God. Free communication can will a creature’s good without needing that creature as an addition to divine perfection. Non-exhaustion opens conceptual space for this claim, while genuine alternatives and intelligent choice require the independent bridges developed in Divine Agency.</w:t>
      </w:r>
    </w:p>
    <w:bookmarkEnd w:id="235"/>
    <w:bookmarkStart w:id="236" w:name="X4bb5ff6eaa135d5cc22c9ed00fa13ac6fb4fd0c"/>
    <w:p>
      <w:pPr>
        <w:pStyle w:val="Heading2"/>
      </w:pPr>
      <w:r>
        <w:t xml:space="preserve">Received goodness becomes a creature’s achievement</w:t>
      </w:r>
    </w:p>
    <w:p>
      <w:pPr>
        <w:pStyle w:val="FirstParagraph"/>
      </w:pPr>
      <w:r>
        <w:t xml:space="preserve">Status: Philosophical synthesis; ultimate return conditional.</w:t>
      </w:r>
    </w:p>
    <w:p>
      <w:pPr>
        <w:pStyle w:val="BodyText"/>
      </w:pPr>
      <w:r>
        <w:t xml:space="preserve">A student’s understanding can depend on instruction while becoming the student’s own act. A promise kept with assistance can remain the agent’s fidelity. The received conditions of an achievement need not make its exercise unreal. Participation gives this claim a precise basis when the recipient genuinely possesses and exercises the relevant power. It does not yet show that every causal effect expresses its source or knows its final end.</w:t>
      </w:r>
    </w:p>
    <w:p>
      <w:pPr>
        <w:pStyle w:val="BodyText"/>
      </w:pPr>
      <w:r>
        <w:t xml:space="preserve">To interpret fulfillment as return to God, further premises connect the creature’s goods with their ultimate source and establish that communion with that source is fitting. Origin alone does not entail end. Within Catholic theology, creation is ordered to God’s glory through the real perfection of creatures, and grace elevates persons toward a communion not owed to nature. The journey perfects the receiver; it supplies no missing chapter in God’s own completion.</w:t>
      </w:r>
    </w:p>
    <w:bookmarkEnd w:id="236"/>
    <w:bookmarkStart w:id="237" w:name="X192c1e34658f6ad743c032865d44b07a6d47921"/>
    <w:p>
      <w:pPr>
        <w:pStyle w:val="Heading2"/>
      </w:pPr>
      <w:r>
        <w:t xml:space="preserve">Care respects a life whose worth exceeds performance</w:t>
      </w:r>
    </w:p>
    <w:p>
      <w:pPr>
        <w:pStyle w:val="FirstParagraph"/>
      </w:pPr>
      <w:r>
        <w:t xml:space="preserve">Status: Philosophical argument within a Catholic account of dignity.</w:t>
      </w:r>
    </w:p>
    <w:p>
      <w:pPr>
        <w:pStyle w:val="BodyText"/>
      </w:pPr>
      <w:r>
        <w:t xml:space="preserve">If dignity depended on unsupported achievement, infancy, disability, illness, and old age would progressively reduce a person’s claim upon us. The participatory account resists that standard: a power can be received and real, and a person retains worth even when a power cannot be exercised. Care should serve the actual good of this person, including relief, safety, recognition, belonging, and agency wherever agency is possible.</w:t>
      </w:r>
    </w:p>
    <w:p>
      <w:pPr>
        <w:pStyle w:val="BodyText"/>
      </w:pPr>
      <w:r>
        <w:t xml:space="preserve">Ask whether assistance enables action, appropriately substitutes when action is unavailable, or appropriates another’s life. Domination can disguise itself as support when the helper makes dependence a reason to silence the recipient. Conversely, insisting upon unaided performance can abandon someone under the name of autonomy. The common good creates conditions for shared flourishing rather than maximizing an aggregate while treating particular persons as expendable inputs.</w:t>
      </w:r>
    </w:p>
    <w:bookmarkEnd w:id="237"/>
    <w:bookmarkStart w:id="238" w:name="communion-perfects-difference"/>
    <w:p>
      <w:pPr>
        <w:pStyle w:val="Heading2"/>
      </w:pPr>
      <w:r>
        <w:t xml:space="preserve">Communion perfects difference</w:t>
      </w:r>
    </w:p>
    <w:p>
      <w:pPr>
        <w:pStyle w:val="FirstParagraph"/>
      </w:pPr>
      <w:r>
        <w:t xml:space="preserve">Status: Philosophical argument with revealed consummation distinguished.</w:t>
      </w:r>
    </w:p>
    <w:p>
      <w:pPr>
        <w:pStyle w:val="BodyText"/>
      </w:pPr>
      <w:r>
        <w:t xml:space="preserve">Communion adds knowledge and love to mere coexistence or causal dependence. The beloved must remain another who can be known and loved. Fusion that abolishes this distinction would remove the relationship it was supposed to perfect. Differences can obstruct communion when they take the form of deception, coercion, or hostility; personal distinction itself is not the obstruction. The good is shared presence with truthful recognition.</w:t>
      </w:r>
    </w:p>
    <w:p>
      <w:pPr>
        <w:pStyle w:val="BodyText"/>
      </w:pPr>
      <w:r>
        <w:t xml:space="preserve">This gives an intelligible grammar for Christian beatitude without proving its promised realization. Revelation supplies resurrection, the vision of God, and consummated communion. The philosophical contribution is to show why perfection need not mean homogenization or absorption. Historical fidelity, distinct persons, embodied life, and received gifts can be fulfilled without being converted into constituents of God. God all in all names the creature’s consummation in God, not God’s completion through the creature.</w:t>
      </w:r>
    </w:p>
    <w:bookmarkEnd w:id="238"/>
    <w:bookmarkStart w:id="245" w:name="core-questions-and-answers-2"/>
    <w:p>
      <w:pPr>
        <w:pStyle w:val="Heading2"/>
      </w:pPr>
      <w:r>
        <w:t xml:space="preserve">Core questions and answers</w:t>
      </w:r>
    </w:p>
    <w:bookmarkStart w:id="239" w:name="X6425cc64852c57f14db0876253db53d7f4bc905"/>
    <w:p>
      <w:pPr>
        <w:pStyle w:val="Heading3"/>
      </w:pPr>
      <w:r>
        <w:t xml:space="preserve">Is everything finite simply less good than the same thing without limits?</w:t>
      </w:r>
    </w:p>
    <w:p>
      <w:pPr>
        <w:pStyle w:val="FirstParagraph"/>
      </w:pPr>
      <w:r>
        <w:t xml:space="preserve">No. Some limits obstruct a good, while others belong to its particular form. A less distorted performance is a better performance of the melody; eliminating succession does not produce an infinitely improved version of that melody. The test asks whether removal perfects the same good or replaces it with a different kind of reality.</w:t>
      </w:r>
    </w:p>
    <w:p>
      <w:pPr>
        <w:pStyle w:val="BodyText"/>
      </w:pPr>
      <w:r>
        <w:t xml:space="preserve">This preserves the positive reality of creaturely goods without celebrating every vulnerability. Illness can occasion care, but care’s goodness does not make illness desirable. Likewise, the removal of death need not abolish created embodiment or personal history. What survives in resurrection is a revealed question; the philosophical distinction prevents finitude and corruption from being equated in advance.</w:t>
      </w:r>
    </w:p>
    <w:bookmarkEnd w:id="239"/>
    <w:bookmarkStart w:id="240" w:name="Xa28f56f708a60441e39b437ac44a0d8844b8acc"/>
    <w:p>
      <w:pPr>
        <w:pStyle w:val="Heading3"/>
      </w:pPr>
      <w:r>
        <w:t xml:space="preserve">Distinguish constitutive form from defect</w:t>
      </w:r>
    </w:p>
    <w:p>
      <w:pPr>
        <w:pStyle w:val="FirstParagraph"/>
      </w:pPr>
      <w:r>
        <w:t xml:space="preserve">A diagnostic for finite goods and their alleged limitations.</w:t>
      </w:r>
    </w:p>
    <w:p>
      <w:pPr>
        <w:pStyle w:val="BodyText"/>
      </w:pPr>
      <w:r>
        <w:t xml:space="preserve">Indispensable premises:</w:t>
      </w:r>
    </w:p>
    <w:p>
      <w:pPr>
        <w:pStyle w:val="Compact"/>
        <w:numPr>
          <w:ilvl w:val="0"/>
          <w:numId w:val="1035"/>
        </w:numPr>
      </w:pPr>
      <w:r>
        <w:t xml:space="preserve">A particular good has an identifiable form.</w:t>
      </w:r>
    </w:p>
    <w:p>
      <w:pPr>
        <w:pStyle w:val="Compact"/>
        <w:numPr>
          <w:ilvl w:val="0"/>
          <w:numId w:val="1035"/>
        </w:numPr>
      </w:pPr>
      <w:r>
        <w:t xml:space="preserve">A condition can belong to that form without being a privation of it.</w:t>
      </w:r>
    </w:p>
    <w:p>
      <w:pPr>
        <w:pStyle w:val="FirstParagraph"/>
      </w:pPr>
      <w:r>
        <w:t xml:space="preserve">Why accept the passage?</w:t>
      </w:r>
    </w:p>
    <w:p>
      <w:pPr>
        <w:pStyle w:val="BodyText"/>
      </w:pPr>
      <w:r>
        <w:t xml:space="preserve">Succession constitutes melody while distortion damages it. The strongest rival treats the finite good as a deficient expression of a higher good, but still needs to explain why its particular positive form is valuable rather than simply disposable.</w:t>
      </w:r>
    </w:p>
    <w:p>
      <w:pPr>
        <w:pStyle w:val="BodyText"/>
      </w:pPr>
      <w:r>
        <w:t xml:space="preserve">What follows?</w:t>
      </w:r>
    </w:p>
    <w:p>
      <w:pPr>
        <w:pStyle w:val="BodyText"/>
      </w:pPr>
      <w:r>
        <w:t xml:space="preserve">Finite specificity can have positive value even where the source of its actuality exceeds its mode.</w:t>
      </w:r>
    </w:p>
    <w:p>
      <w:pPr>
        <w:pStyle w:val="BodyText"/>
      </w:pPr>
      <w:r>
        <w:t xml:space="preserve">Remaining burden: No conclusion follows that every present limit is essential or eternally retained.</w:t>
      </w:r>
    </w:p>
    <w:p>
      <w:pPr>
        <w:pStyle w:val="BodyText"/>
      </w:pPr>
      <w:hyperlink r:id="rId160">
        <w:r>
          <w:rPr>
            <w:rStyle w:val="Hyperlink"/>
          </w:rPr>
          <w:t xml:space="preserve">Finite participation and source</w:t>
        </w:r>
      </w:hyperlink>
      <w:r>
        <w:t xml:space="preserve"> </w:t>
      </w:r>
      <w:r>
        <w:t xml:space="preserve">·</w:t>
      </w:r>
      <w:r>
        <w:t xml:space="preserve"> </w:t>
      </w:r>
      <w:hyperlink r:id="rId214">
        <w:r>
          <w:rPr>
            <w:rStyle w:val="Hyperlink"/>
          </w:rPr>
          <w:t xml:space="preserve">Embodied fulfillment</w:t>
        </w:r>
      </w:hyperlink>
    </w:p>
    <w:bookmarkEnd w:id="240"/>
    <w:bookmarkStart w:id="241" w:name="Xf231156082b814857521f2deb970633c830f28d"/>
    <w:p>
      <w:pPr>
        <w:pStyle w:val="Heading3"/>
      </w:pPr>
      <w:r>
        <w:t xml:space="preserve">If suffering can lead to growth, does that explain or justify it?</w:t>
      </w:r>
    </w:p>
    <w:p>
      <w:pPr>
        <w:pStyle w:val="FirstParagraph"/>
      </w:pPr>
      <w:r>
        <w:t xml:space="preserve">A good response explains something important about the responder; it does not automatically explain why the suffering occurred or justify anyone’s causing it. Courage and compassion are genuine achievements. Their value gives reasons to support the afflicted and resist harm, rather than a general permission to create occasions for virtue.</w:t>
      </w:r>
    </w:p>
    <w:p>
      <w:pPr>
        <w:pStyle w:val="BodyText"/>
      </w:pPr>
      <w:r>
        <w:t xml:space="preserve">A providential justification would need much more: relevant goods, alternatives, the rights of those harmed, and a warranted account of permission. We rarely possess that explanatory totality. Christian claims about redemption affirm that evil need not have the last word; they do not authorize treating each injury as an indispensable means to a later benefit.</w:t>
      </w:r>
    </w:p>
    <w:bookmarkEnd w:id="241"/>
    <w:bookmarkStart w:id="242" w:name="X5d436aa6fcdcb1995c666aaa051ab5564277fb3"/>
    <w:p>
      <w:pPr>
        <w:pStyle w:val="Heading3"/>
      </w:pPr>
      <w:r>
        <w:t xml:space="preserve">A good consequence does not authorize its harmful occasion</w:t>
      </w:r>
    </w:p>
    <w:p>
      <w:pPr>
        <w:pStyle w:val="FirstParagraph"/>
      </w:pPr>
      <w:r>
        <w:t xml:space="preserve">A restriction on practical and providential inference.</w:t>
      </w:r>
    </w:p>
    <w:p>
      <w:pPr>
        <w:pStyle w:val="BodyText"/>
      </w:pPr>
      <w:r>
        <w:t xml:space="preserve">Indispensable premises:</w:t>
      </w:r>
    </w:p>
    <w:p>
      <w:pPr>
        <w:pStyle w:val="Compact"/>
        <w:numPr>
          <w:ilvl w:val="0"/>
          <w:numId w:val="1036"/>
        </w:numPr>
      </w:pPr>
      <w:r>
        <w:t xml:space="preserve">The moral quality of a response differs from the moral quality of what it answers.</w:t>
      </w:r>
    </w:p>
    <w:p>
      <w:pPr>
        <w:pStyle w:val="Compact"/>
        <w:numPr>
          <w:ilvl w:val="0"/>
          <w:numId w:val="1036"/>
        </w:numPr>
      </w:pPr>
      <w:r>
        <w:t xml:space="preserve">Justifying an action requires evaluating its object, responsibilities, alternatives, and harms rather than one beneficial outcome alone.</w:t>
      </w:r>
    </w:p>
    <w:p>
      <w:pPr>
        <w:pStyle w:val="FirstParagraph"/>
      </w:pPr>
      <w:r>
        <w:t xml:space="preserve">Why accept the passage?</w:t>
      </w:r>
    </w:p>
    <w:p>
      <w:pPr>
        <w:pStyle w:val="BodyText"/>
      </w:pPr>
      <w:r>
        <w:t xml:space="preserve">Healing warrants treating illness, not inflicting it to obtain the healing. A consequentialist rival can contest the wider moral principle, but must supply its own account of why persons may be subjected to the proposed means.</w:t>
      </w:r>
    </w:p>
    <w:p>
      <w:pPr>
        <w:pStyle w:val="BodyText"/>
      </w:pPr>
      <w:r>
        <w:t xml:space="preserve">What follows?</w:t>
      </w:r>
    </w:p>
    <w:p>
      <w:pPr>
        <w:pStyle w:val="BodyText"/>
      </w:pPr>
      <w:r>
        <w:t xml:space="preserve">Growth after suffering can be affirmed without declaring the suffering good or necessary.</w:t>
      </w:r>
    </w:p>
    <w:p>
      <w:pPr>
        <w:pStyle w:val="BodyText"/>
      </w:pPr>
      <w:r>
        <w:t xml:space="preserve">Remaining burden: This does not settle why God permits a particular evil or eliminate every possible greater-good argument.</w:t>
      </w:r>
    </w:p>
    <w:p>
      <w:pPr>
        <w:pStyle w:val="BodyText"/>
      </w:pPr>
      <w:hyperlink r:id="rId211">
        <w:r>
          <w:rPr>
            <w:rStyle w:val="Hyperlink"/>
          </w:rPr>
          <w:t xml:space="preserve">Permission, evil, and providence</w:t>
        </w:r>
      </w:hyperlink>
      <w:r>
        <w:t xml:space="preserve"> </w:t>
      </w:r>
      <w:r>
        <w:t xml:space="preserve">·</w:t>
      </w:r>
      <w:r>
        <w:t xml:space="preserve"> </w:t>
      </w:r>
      <w:hyperlink r:id="rId181">
        <w:r>
          <w:rPr>
            <w:rStyle w:val="Hyperlink"/>
          </w:rPr>
          <w:t xml:space="preserve">Dignity and care</w:t>
        </w:r>
      </w:hyperlink>
    </w:p>
    <w:bookmarkEnd w:id="242"/>
    <w:bookmarkStart w:id="243" w:name="X039b15e7dc9ca47d22f738d9f0dfb5dfe5129f0"/>
    <w:p>
      <w:pPr>
        <w:pStyle w:val="Heading3"/>
      </w:pPr>
      <w:r>
        <w:t xml:space="preserve">Why should fulfillment be communion rather than independence or absorption?</w:t>
      </w:r>
    </w:p>
    <w:p>
      <w:pPr>
        <w:pStyle w:val="FirstParagraph"/>
      </w:pPr>
      <w:r>
        <w:t xml:space="preserve">For personal goods, complete independence is neither necessary nor always desirable. Friendship, learning, and love involve receiving from others while acting genuinely oneself. Absorption fails in the other direction: if the beloved ceases to be another, the interpersonal good disappears. Communion preserves both received life and personal distinction.</w:t>
      </w:r>
    </w:p>
    <w:p>
      <w:pPr>
        <w:pStyle w:val="BodyText"/>
      </w:pPr>
      <w:r>
        <w:t xml:space="preserve">This establishes an intelligible form of fulfillment, not that every creature naturally attains the vision of God. Catholic theology adds God’s gracious invitation and promise. Communion with God can then be genuinely personal while ontologically asymmetric: God needs no creature to complete divine life, while the creature receives a perfection it could not bestow upon itself.</w:t>
      </w:r>
    </w:p>
    <w:bookmarkEnd w:id="243"/>
    <w:bookmarkStart w:id="244" w:name="X1231391b9e5c3ff75df0b43627f43dc2a506e08"/>
    <w:p>
      <w:pPr>
        <w:pStyle w:val="Heading3"/>
      </w:pPr>
      <w:r>
        <w:t xml:space="preserve">Personal fulfillment preserves the participant</w:t>
      </w:r>
    </w:p>
    <w:p>
      <w:pPr>
        <w:pStyle w:val="FirstParagraph"/>
      </w:pPr>
      <w:r>
        <w:t xml:space="preserve">Philosophical account of communion; supernatural realization received through revelation.</w:t>
      </w:r>
    </w:p>
    <w:p>
      <w:pPr>
        <w:pStyle w:val="BodyText"/>
      </w:pPr>
      <w:r>
        <w:t xml:space="preserve">Indispensable premises:</w:t>
      </w:r>
    </w:p>
    <w:p>
      <w:pPr>
        <w:pStyle w:val="Compact"/>
        <w:numPr>
          <w:ilvl w:val="0"/>
          <w:numId w:val="1037"/>
        </w:numPr>
      </w:pPr>
      <w:r>
        <w:t xml:space="preserve">Personal knowledge and love require a real other.</w:t>
      </w:r>
    </w:p>
    <w:p>
      <w:pPr>
        <w:pStyle w:val="Compact"/>
        <w:numPr>
          <w:ilvl w:val="0"/>
          <w:numId w:val="1037"/>
        </w:numPr>
      </w:pPr>
      <w:r>
        <w:t xml:space="preserve">Receiving a good does not by itself abolish genuine possession or action.</w:t>
      </w:r>
    </w:p>
    <w:p>
      <w:pPr>
        <w:pStyle w:val="Compact"/>
        <w:numPr>
          <w:ilvl w:val="0"/>
          <w:numId w:val="1037"/>
        </w:numPr>
      </w:pPr>
      <w:r>
        <w:t xml:space="preserve">Catholic revelation promises supernatural communion through grace.</w:t>
      </w:r>
    </w:p>
    <w:p>
      <w:pPr>
        <w:pStyle w:val="FirstParagraph"/>
      </w:pPr>
      <w:r>
        <w:t xml:space="preserve">Why accept the passage?</w:t>
      </w:r>
    </w:p>
    <w:p>
      <w:pPr>
        <w:pStyle w:val="BodyText"/>
      </w:pPr>
      <w:r>
        <w:t xml:space="preserve">Friendship exhibits shared life without numerical fusion. A rival ideal of absorption must show how the personal good survives the loss of its subjects. Revelation is an additional warrant for the promised divine communion, not an inference from friendship alone.</w:t>
      </w:r>
    </w:p>
    <w:p>
      <w:pPr>
        <w:pStyle w:val="BodyText"/>
      </w:pPr>
      <w:r>
        <w:t xml:space="preserve">What follows?</w:t>
      </w:r>
    </w:p>
    <w:p>
      <w:pPr>
        <w:pStyle w:val="BodyText"/>
      </w:pPr>
      <w:r>
        <w:t xml:space="preserve">Fulfilled participation can perfect personal life without either metaphysical independence or dissolution into God.</w:t>
      </w:r>
    </w:p>
    <w:p>
      <w:pPr>
        <w:pStyle w:val="BodyText"/>
      </w:pPr>
      <w:r>
        <w:t xml:space="preserve">Remaining burden: The analogy does not explain the supernatural manner of the beatific vision or prove its actual bestowal.</w:t>
      </w:r>
    </w:p>
    <w:p>
      <w:pPr>
        <w:pStyle w:val="BodyText"/>
      </w:pPr>
      <w:hyperlink r:id="rId207">
        <w:r>
          <w:rPr>
            <w:rStyle w:val="Hyperlink"/>
          </w:rPr>
          <w:t xml:space="preserve">Grace and prayer</w:t>
        </w:r>
      </w:hyperlink>
      <w:r>
        <w:t xml:space="preserve"> </w:t>
      </w:r>
      <w:r>
        <w:t xml:space="preserve">·</w:t>
      </w:r>
      <w:r>
        <w:t xml:space="preserve"> </w:t>
      </w:r>
      <w:hyperlink r:id="rId214">
        <w:r>
          <w:rPr>
            <w:rStyle w:val="Hyperlink"/>
          </w:rPr>
          <w:t xml:space="preserve">Beatitude without absorption</w:t>
        </w:r>
      </w:hyperlink>
    </w:p>
    <w:bookmarkEnd w:id="244"/>
    <w:bookmarkEnd w:id="245"/>
    <w:bookmarkStart w:id="251" w:name="sources-and-precise-use-2"/>
    <w:p>
      <w:pPr>
        <w:pStyle w:val="Heading2"/>
      </w:pPr>
      <w:r>
        <w:t xml:space="preserve">Sources and precise use</w:t>
      </w:r>
    </w:p>
    <w:bookmarkStart w:id="246" w:name="X06d8731a38d19e46df8160b1bbe57149142951d"/>
    <w:p>
      <w:pPr>
        <w:pStyle w:val="Heading3"/>
      </w:pPr>
      <w:r>
        <w:t xml:space="preserve">Robert Dryer: Being-First and Measured Manifestation: Definitive Synthetic Edition</w:t>
      </w:r>
    </w:p>
    <w:p>
      <w:pPr>
        <w:pStyle w:val="FirstParagraph"/>
      </w:pPr>
      <w:r>
        <w:t xml:space="preserve">Locus: Chapters 21–24, 32–33, and 41.</w:t>
      </w:r>
    </w:p>
    <w:p>
      <w:pPr>
        <w:pStyle w:val="BodyText"/>
      </w:pPr>
      <w:r>
        <w:t xml:space="preserve">Status: Supplied constructive manuscript: selected passages consulted; link gives project source provenance.</w:t>
      </w:r>
    </w:p>
    <w:p>
      <w:pPr>
        <w:pStyle w:val="BodyText"/>
      </w:pPr>
      <w:r>
        <w:t xml:space="preserve">Contribution: Received possession, positive finite conditions, the threefold limit test, supported agency, and communion without absorption.</w:t>
      </w:r>
    </w:p>
    <w:p>
      <w:pPr>
        <w:pStyle w:val="BodyText"/>
      </w:pPr>
      <w:r>
        <w:t xml:space="preserve">Limit: The manuscript offers a constructive proposal rather than independent verification of the historical claims it cites. The linked source-method note is not the complete uploaded manuscript.</w:t>
      </w:r>
    </w:p>
    <w:p>
      <w:pPr>
        <w:pStyle w:val="BodyText"/>
      </w:pPr>
      <w:r>
        <w:t xml:space="preserve">Source/provenance: https://participation-6o4.pages.dev/research/atlas/source-method.md</w:t>
      </w:r>
    </w:p>
    <w:bookmarkEnd w:id="246"/>
    <w:bookmarkStart w:id="247" w:name="Xcf16d275f0bf593a5a0e2babec3c84749bcac88"/>
    <w:p>
      <w:pPr>
        <w:pStyle w:val="Heading3"/>
      </w:pPr>
      <w:r>
        <w:t xml:space="preserve">Catholic Church: Catechism of the Catholic Church</w:t>
      </w:r>
    </w:p>
    <w:p>
      <w:pPr>
        <w:pStyle w:val="FirstParagraph"/>
      </w:pPr>
      <w:r>
        <w:t xml:space="preserve">Locus: CCC 299, 339–341, 1700, 1803, 1906–1909, and 1954–1956.</w:t>
      </w:r>
    </w:p>
    <w:p>
      <w:pPr>
        <w:pStyle w:val="BodyText"/>
      </w:pPr>
      <w:r>
        <w:t xml:space="preserve">Status: Supplied primary text: selected passages consulted.</w:t>
      </w:r>
    </w:p>
    <w:p>
      <w:pPr>
        <w:pStyle w:val="BodyText"/>
      </w:pPr>
      <w:r>
        <w:t xml:space="preserve">Contribution: Creaturely goodness, interdependence, human dignity, virtue, the common good, and practical moral knowledge.</w:t>
      </w:r>
    </w:p>
    <w:p>
      <w:pPr>
        <w:pStyle w:val="BodyText"/>
      </w:pPr>
      <w:r>
        <w:t xml:space="preserve">Limit: Doctrinal teaching is distinguished from the independent philosophical arguments proposed here.</w:t>
      </w:r>
    </w:p>
    <w:p>
      <w:pPr>
        <w:pStyle w:val="BodyText"/>
      </w:pPr>
      <w:r>
        <w:t xml:space="preserve">Source/provenance: https://www.vatican.va/archive/ENG0015/_INDEX.HTM</w:t>
      </w:r>
    </w:p>
    <w:bookmarkEnd w:id="247"/>
    <w:bookmarkStart w:id="248" w:name="aristotle-nicomachean-ethics-and-physics"/>
    <w:p>
      <w:pPr>
        <w:pStyle w:val="Heading3"/>
      </w:pPr>
      <w:r>
        <w:t xml:space="preserve">Aristotle: Nicomachean Ethics and Physics</w:t>
      </w:r>
    </w:p>
    <w:p>
      <w:pPr>
        <w:pStyle w:val="FirstParagraph"/>
      </w:pPr>
      <w:r>
        <w:t xml:space="preserve">Locus: Nicomachean Ethics I.1 and I.7; Physics II.8: general orientation.</w:t>
      </w:r>
    </w:p>
    <w:p>
      <w:pPr>
        <w:pStyle w:val="BodyText"/>
      </w:pPr>
      <w:r>
        <w:t xml:space="preserve">Status: Unverified reading lead: direct edition not newly inspected.</w:t>
      </w:r>
    </w:p>
    <w:p>
      <w:pPr>
        <w:pStyle w:val="BodyText"/>
      </w:pPr>
      <w:r>
        <w:t xml:space="preserve">Contribution: Historical comparison for goods, characteristic activity, practical flourishing, and natural finality.</w:t>
      </w:r>
    </w:p>
    <w:p>
      <w:pPr>
        <w:pStyle w:val="BodyText"/>
      </w:pPr>
      <w:r>
        <w:t xml:space="preserve">Limit: The atlas does not adopt Aristotle’s complete ethics or derive Catholic supernatural beatitude from it.</w:t>
      </w:r>
    </w:p>
    <w:p>
      <w:pPr>
        <w:pStyle w:val="BodyText"/>
      </w:pPr>
      <w:r>
        <w:t xml:space="preserve">Source/provenance: https://classics.mit.edu/Aristotle/nicomachaen.html</w:t>
      </w:r>
    </w:p>
    <w:bookmarkEnd w:id="248"/>
    <w:bookmarkStart w:id="249" w:name="thomas-aquinas-summa-theologiae-1"/>
    <w:p>
      <w:pPr>
        <w:pStyle w:val="Heading3"/>
      </w:pPr>
      <w:r>
        <w:t xml:space="preserve">Thomas Aquinas: Summa theologiae</w:t>
      </w:r>
    </w:p>
    <w:p>
      <w:pPr>
        <w:pStyle w:val="FirstParagraph"/>
      </w:pPr>
      <w:r>
        <w:t xml:space="preserve">Locus: I, q. 5, aa. 1–3; q. 48, aa. 1–3; I–II, q. 3, a. 8.</w:t>
      </w:r>
    </w:p>
    <w:p>
      <w:pPr>
        <w:pStyle w:val="BodyText"/>
      </w:pPr>
      <w:r>
        <w:t xml:space="preserve">Status: Inherited consultation in the atlas’s participation and simplicity research.</w:t>
      </w:r>
    </w:p>
    <w:p>
      <w:pPr>
        <w:pStyle w:val="BodyText"/>
      </w:pPr>
      <w:r>
        <w:t xml:space="preserve">Contribution: The distinction between the goodness of actuality and moral order, privation, and the theological question of perfect beatitude.</w:t>
      </w:r>
    </w:p>
    <w:p>
      <w:pPr>
        <w:pStyle w:val="BodyText"/>
      </w:pPr>
      <w:r>
        <w:t xml:space="preserve">Limit: The threefold finite-condition test is presented as this project’s constructive clarification, not as an attributed Aquinas theorem.</w:t>
      </w:r>
    </w:p>
    <w:p>
      <w:pPr>
        <w:pStyle w:val="BodyText"/>
      </w:pPr>
      <w:r>
        <w:t xml:space="preserve">Source/provenance: https://www.newadvent.org/summa/1.htm</w:t>
      </w:r>
    </w:p>
    <w:bookmarkEnd w:id="249"/>
    <w:bookmarkStart w:id="250" w:name="bonaventure-itinerarium-mentis-in-deum"/>
    <w:p>
      <w:pPr>
        <w:pStyle w:val="Heading3"/>
      </w:pPr>
      <w:r>
        <w:t xml:space="preserve">Bonaventure: Itinerarium mentis in Deum</w:t>
      </w:r>
    </w:p>
    <w:p>
      <w:pPr>
        <w:pStyle w:val="FirstParagraph"/>
      </w:pPr>
      <w:r>
        <w:t xml:space="preserve">Locus: Chapters I–II and VII: general comparative orientation.</w:t>
      </w:r>
    </w:p>
    <w:p>
      <w:pPr>
        <w:pStyle w:val="BodyText"/>
      </w:pPr>
      <w:r>
        <w:t xml:space="preserve">Status: Inherited consultation in the atlas’s participation research; translation not newly reviewed.</w:t>
      </w:r>
    </w:p>
    <w:p>
      <w:pPr>
        <w:pStyle w:val="BodyText"/>
      </w:pPr>
      <w:r>
        <w:t xml:space="preserve">Contribution: A participatory account of created goods, contemplative return, and fulfillment beyond merely external causal dependence.</w:t>
      </w:r>
    </w:p>
    <w:p>
      <w:pPr>
        <w:pStyle w:val="BodyText"/>
      </w:pPr>
      <w:r>
        <w:t xml:space="preserve">Limit: Historical continuity does not establish every proposed bridge from origin to end or from finite goods to supernatural communion.</w:t>
      </w:r>
    </w:p>
    <w:p>
      <w:pPr>
        <w:pStyle w:val="BodyText"/>
      </w:pPr>
      <w:r>
        <w:t xml:space="preserve">Source/provenance: https://www.franciscan-archive.org/bonaventura/opera/bon05349.html</w:t>
      </w:r>
    </w:p>
    <w:bookmarkEnd w:id="250"/>
    <w:bookmarkEnd w:id="251"/>
    <w:bookmarkStart w:id="252" w:name="where-this-argument-matters-2"/>
    <w:p>
      <w:pPr>
        <w:pStyle w:val="Heading2"/>
      </w:pPr>
      <w:r>
        <w:t xml:space="preserve">Where this argument matters</w:t>
      </w:r>
    </w:p>
    <w:p>
      <w:pPr>
        <w:pStyle w:val="Compact"/>
        <w:numPr>
          <w:ilvl w:val="0"/>
          <w:numId w:val="1038"/>
        </w:numPr>
      </w:pPr>
      <w:hyperlink r:id="rId181">
        <w:r>
          <w:rPr>
            <w:rStyle w:val="Hyperlink"/>
          </w:rPr>
          <w:t xml:space="preserve">The Human Person</w:t>
        </w:r>
      </w:hyperlink>
      <w:r>
        <w:t xml:space="preserve">: Apply the account to dignity, virtue, embodiment, social life, and care.</w:t>
      </w:r>
    </w:p>
    <w:p>
      <w:pPr>
        <w:pStyle w:val="Compact"/>
        <w:numPr>
          <w:ilvl w:val="0"/>
          <w:numId w:val="1038"/>
        </w:numPr>
      </w:pPr>
      <w:hyperlink r:id="rId211">
        <w:r>
          <w:rPr>
            <w:rStyle w:val="Hyperlink"/>
          </w:rPr>
          <w:t xml:space="preserve">Providence, Evil, and History</w:t>
        </w:r>
      </w:hyperlink>
      <w:r>
        <w:t xml:space="preserve">: Test whether meaningful fulfillment can be affirmed without excusing suffering.</w:t>
      </w:r>
    </w:p>
    <w:p>
      <w:pPr>
        <w:pStyle w:val="Compact"/>
        <w:numPr>
          <w:ilvl w:val="0"/>
          <w:numId w:val="1038"/>
        </w:numPr>
      </w:pPr>
      <w:hyperlink r:id="rId214">
        <w:r>
          <w:rPr>
            <w:rStyle w:val="Hyperlink"/>
          </w:rPr>
          <w:t xml:space="preserve">Resurrection, Beatitude, and God All in All</w:t>
        </w:r>
      </w:hyperlink>
      <w:r>
        <w:t xml:space="preserve">: Receive the specifically Christian promise of consummated communion.</w:t>
      </w:r>
    </w:p>
    <w:p>
      <w:r>
        <w:pict>
          <v:rect style="width:0;height:1.5pt" o:hralign="center" o:hrstd="t" o:hr="t"/>
        </w:pict>
      </w:r>
    </w:p>
    <w:bookmarkEnd w:id="252"/>
    <w:bookmarkEnd w:id="253"/>
    <w:bookmarkStart w:id="281" w:name="X573943f47ae3780119c6a6057a2ae3d61a7c374"/>
    <w:p>
      <w:pPr>
        <w:pStyle w:val="Heading1"/>
      </w:pPr>
      <w:r>
        <w:t xml:space="preserve">7. Trinity: Unity, Origin, and Personal Communion</w:t>
      </w:r>
    </w:p>
    <w:p>
      <w:pPr>
        <w:pStyle w:val="FirstParagraph"/>
      </w:pPr>
      <w:r>
        <w:t xml:space="preserve">How can Father, Son, and Holy Spirit be really distinct without dividing God into three beings or reducing the Persons to appearances?</w:t>
      </w:r>
    </w:p>
    <w:p>
      <w:pPr>
        <w:pStyle w:val="BodyText"/>
      </w:pPr>
      <w:r>
        <w:t xml:space="preserve">Catholic faith receives the Trinity through God’s self-revelation in the Son and the Holy Spirit. Philosophy does not discover three divine Persons by inspecting an underived source. Its contribution is to distinguish questions that a coherent theological account must answer: what is one, who is distinct, how each is from another, and why neither distinction nor origin divides the divine nature.</w:t>
      </w:r>
    </w:p>
    <w:p>
      <w:pPr>
        <w:pStyle w:val="BodyText"/>
      </w:pPr>
      <w:r>
        <w:t xml:space="preserve">The governing claim is positive: the one divine life is eternally personal communion. The Father, Son, and Holy Spirit are each wholly God, not instances sharing a common kind of deity. Their real distinction concerns relations of origin. This claim requires its own theological warrant; neither the absence of parts nor the general grammar of participation supplies it.</w:t>
      </w:r>
    </w:p>
    <w:bookmarkStart w:id="254" w:name="what-this-page-uses-3"/>
    <w:p>
      <w:pPr>
        <w:pStyle w:val="Heading2"/>
      </w:pPr>
      <w:r>
        <w:t xml:space="preserve">What this page uses</w:t>
      </w:r>
    </w:p>
    <w:p>
      <w:pPr>
        <w:pStyle w:val="Compact"/>
        <w:numPr>
          <w:ilvl w:val="0"/>
          <w:numId w:val="1039"/>
        </w:numPr>
      </w:pPr>
      <w:hyperlink r:id="rId161">
        <w:r>
          <w:rPr>
            <w:rStyle w:val="Hyperlink"/>
          </w:rPr>
          <w:t xml:space="preserve">Beyond Participation</w:t>
        </w:r>
      </w:hyperlink>
      <w:r>
        <w:t xml:space="preserve">: Its simplicity arguments exclude received or constituent deity; they do not identify the divine Persons.</w:t>
      </w:r>
    </w:p>
    <w:p>
      <w:pPr>
        <w:pStyle w:val="Compact"/>
        <w:numPr>
          <w:ilvl w:val="0"/>
          <w:numId w:val="1039"/>
        </w:numPr>
      </w:pPr>
      <w:hyperlink r:id="rId193">
        <w:r>
          <w:rPr>
            <w:rStyle w:val="Hyperlink"/>
          </w:rPr>
          <w:t xml:space="preserve">Reality, Determination, and Relation</w:t>
        </w:r>
      </w:hyperlink>
      <w:r>
        <w:t xml:space="preserve">: Its distinctions between nature, person, relation, and constitution prevent one relation from silently doing another’s work.</w:t>
      </w:r>
    </w:p>
    <w:bookmarkEnd w:id="254"/>
    <w:bookmarkStart w:id="255" w:name="what-it-undertakes-to-establish-3"/>
    <w:p>
      <w:pPr>
        <w:pStyle w:val="Heading2"/>
      </w:pPr>
      <w:r>
        <w:t xml:space="preserve">What it undertakes to establish</w:t>
      </w:r>
    </w:p>
    <w:p>
      <w:pPr>
        <w:pStyle w:val="Compact"/>
        <w:numPr>
          <w:ilvl w:val="0"/>
          <w:numId w:val="1040"/>
        </w:numPr>
      </w:pPr>
      <w:r>
        <w:t xml:space="preserve">A doctrinally governed distinction between unity of nature and real personal distinction.</w:t>
      </w:r>
    </w:p>
    <w:p>
      <w:pPr>
        <w:pStyle w:val="Compact"/>
        <w:numPr>
          <w:ilvl w:val="0"/>
          <w:numId w:val="1040"/>
        </w:numPr>
      </w:pPr>
      <w:r>
        <w:t xml:space="preserve">Why eternal generation and procession must not be modeled as created actualization or divine partition.</w:t>
      </w:r>
    </w:p>
    <w:p>
      <w:pPr>
        <w:pStyle w:val="Compact"/>
        <w:numPr>
          <w:ilvl w:val="0"/>
          <w:numId w:val="1040"/>
        </w:numPr>
      </w:pPr>
      <w:r>
        <w:t xml:space="preserve">How common divine action can disclose the proper missions of the Son and the Spirit.</w:t>
      </w:r>
    </w:p>
    <w:bookmarkEnd w:id="255"/>
    <w:bookmarkStart w:id="256" w:name="the-point-at-which-the-warrant-changes"/>
    <w:p>
      <w:pPr>
        <w:pStyle w:val="Heading2"/>
      </w:pPr>
      <w:r>
        <w:t xml:space="preserve">The point at which the warrant changes</w:t>
      </w:r>
    </w:p>
    <w:p>
      <w:pPr>
        <w:pStyle w:val="FirstParagraph"/>
      </w:pPr>
      <w:r>
        <w:t xml:space="preserve">Status: Doctrinally received; philosophical clarification.</w:t>
      </w:r>
    </w:p>
    <w:p>
      <w:pPr>
        <w:pStyle w:val="BodyText"/>
      </w:pPr>
      <w:r>
        <w:t xml:space="preserve">The Christian begins here with the Father revealed by Jesus Christ and the Spirit sent into the Church, rather than with a numerical speculation about ultimate reality. Baptism names Father, Son, and Holy Spirit together. The Son addresses the Father, is sent by him, and promises the Spirit. The Church’s confession identifies these distinctions as revealing who God eternally is, rather than as temporary roles God assumes toward us. The Catechism explicitly identifies the Trinity as inaccessible to reason alone (CCC 232–237).</w:t>
      </w:r>
    </w:p>
    <w:p>
      <w:pPr>
        <w:pStyle w:val="BodyText"/>
      </w:pPr>
      <w:r>
        <w:t xml:space="preserve">That confession does not make philosophical scrutiny pointless. It gives scrutiny a determinate task: show what the propositions mean, identify misleading creaturely models, and test proposed explanations against all the commitments together. Three masks preserve numerical unity by sacrificing personal distinction. Three independent gods preserve distinction by sacrificing unity. A descending hierarchy preserves origin by sacrificing equal deity. A successful grammar must do better than each rival without treating its own compatibility argument as proof that revelation occurred.</w:t>
      </w:r>
    </w:p>
    <w:bookmarkEnd w:id="256"/>
    <w:bookmarkStart w:id="258" w:name="what-is-one-and-who-is-three"/>
    <w:p>
      <w:pPr>
        <w:pStyle w:val="Heading2"/>
      </w:pPr>
      <w:r>
        <w:t xml:space="preserve">What is one, and who is three?</w:t>
      </w:r>
    </w:p>
    <w:p>
      <w:pPr>
        <w:pStyle w:val="FirstParagraph"/>
      </w:pPr>
      <w:r>
        <w:t xml:space="preserve">Status: Doctrinally received; semantic analysis.</w:t>
      </w:r>
    </w:p>
    <w:p>
      <w:pPr>
        <w:pStyle w:val="BodyText"/>
      </w:pPr>
      <w:r>
        <w:t xml:space="preserve">A nature answers what something is; a person identifies the subsisting subject. These questions are connected but not interchangeable. In ordinary human life, distinct persons possess distinct instances of human nature. Catholic teaching refuses to transfer that arrangement into God. Father, Son, and Spirit are not three examples of divinity, any more than they are three portions of one divine object. Each is wholly the one undivided God (CCC 252–255). The nature is not a fourth participant standing alongside the three.</w:t>
      </w:r>
    </w:p>
    <w:p>
      <w:pPr>
        <w:pStyle w:val="BodyText"/>
      </w:pPr>
      <w:r>
        <w:t xml:space="preserve">This distinction blocks a crude contradiction: the claim is not that God is one Person and three Persons in the same respect. It does not by itself solve every problem of identity. In particular, writing</w:t>
      </w:r>
      <w:r>
        <w:t xml:space="preserve"> </w:t>
      </w:r>
      <w:r>
        <w:t xml:space="preserve">‘</w:t>
      </w:r>
      <w:r>
        <w:t xml:space="preserve">the Father = God</w:t>
      </w:r>
      <w:r>
        <w:t xml:space="preserve">’</w:t>
      </w:r>
      <w:r>
        <w:t xml:space="preserve"> </w:t>
      </w:r>
      <w:r>
        <w:t xml:space="preserve">and</w:t>
      </w:r>
      <w:r>
        <w:t xml:space="preserve"> </w:t>
      </w:r>
      <w:r>
        <w:t xml:space="preserve">‘</w:t>
      </w:r>
      <w:r>
        <w:t xml:space="preserve">the Son = God</w:t>
      </w:r>
      <w:r>
        <w:t xml:space="preserve">’</w:t>
      </w:r>
      <w:r>
        <w:t xml:space="preserve"> </w:t>
      </w:r>
      <w:r>
        <w:t xml:space="preserve">as though all three expressions were ordinary interchangeable names conceals the difference between predicating deity and identifying a Person. A full formal semantics must preserve real personal nonidentity, undivided deity, and ordinary logical discipline. Naming those requirements is an achievement of precision, not a completed demonstration of a uniquely correct logical model.</w:t>
      </w:r>
    </w:p>
    <w:bookmarkStart w:id="257" w:name="distinction-of-counting-respects"/>
    <w:p>
      <w:pPr>
        <w:pStyle w:val="Heading3"/>
      </w:pPr>
      <w:r>
        <w:t xml:space="preserve">Distinction of counting respects</w:t>
      </w:r>
    </w:p>
    <w:p>
      <w:pPr>
        <w:pStyle w:val="FirstParagraph"/>
      </w:pPr>
      <w:r>
        <w:t xml:space="preserve">A limited coherence argument using doctrinal premises</w:t>
      </w:r>
    </w:p>
    <w:p>
      <w:pPr>
        <w:pStyle w:val="BodyText"/>
      </w:pPr>
      <w:r>
        <w:t xml:space="preserve">Indispensable premises:</w:t>
      </w:r>
    </w:p>
    <w:p>
      <w:pPr>
        <w:pStyle w:val="Compact"/>
        <w:numPr>
          <w:ilvl w:val="0"/>
          <w:numId w:val="1041"/>
        </w:numPr>
      </w:pPr>
      <w:r>
        <w:t xml:space="preserve">The confession affirms one divine nature and three really distinct Persons.</w:t>
      </w:r>
    </w:p>
    <w:p>
      <w:pPr>
        <w:pStyle w:val="Compact"/>
        <w:numPr>
          <w:ilvl w:val="0"/>
          <w:numId w:val="1041"/>
        </w:numPr>
      </w:pPr>
      <w:r>
        <w:t xml:space="preserve">Nature and person do not answer the same question, and the divine nature is not multiplied into three instances.</w:t>
      </w:r>
    </w:p>
    <w:p>
      <w:pPr>
        <w:pStyle w:val="FirstParagraph"/>
      </w:pPr>
      <w:r>
        <w:t xml:space="preserve">Why accept the passage?</w:t>
      </w:r>
    </w:p>
    <w:p>
      <w:pPr>
        <w:pStyle w:val="BodyText"/>
      </w:pPr>
      <w:r>
        <w:t xml:space="preserve">A contradiction requires affirmation and denial in the same respect. Counting personal distinctions does not alone count divided instances of deity. The rival tritheistic model adds precisely the separate divine instances that the premise excludes.</w:t>
      </w:r>
    </w:p>
    <w:p>
      <w:pPr>
        <w:pStyle w:val="BodyText"/>
      </w:pPr>
      <w:r>
        <w:t xml:space="preserve">What follows?</w:t>
      </w:r>
    </w:p>
    <w:p>
      <w:pPr>
        <w:pStyle w:val="BodyText"/>
      </w:pPr>
      <w:r>
        <w:t xml:space="preserve">The bare numerical formula one nature and three Persons is not an explicit same-respect contradiction.</w:t>
      </w:r>
    </w:p>
    <w:p>
      <w:pPr>
        <w:pStyle w:val="BodyText"/>
      </w:pPr>
      <w:r>
        <w:t xml:space="preserve">Remaining burden: This argument does not supply a complete semantics of divine identity or demonstrate the Trinity from natural premises.</w:t>
      </w:r>
    </w:p>
    <w:bookmarkEnd w:id="257"/>
    <w:bookmarkEnd w:id="258"/>
    <w:bookmarkStart w:id="260" w:name="X016e994454b6f2c2be7c82eae919070cde07ceb"/>
    <w:p>
      <w:pPr>
        <w:pStyle w:val="Heading2"/>
      </w:pPr>
      <w:r>
        <w:t xml:space="preserve">Being from another need not mean being a creature</w:t>
      </w:r>
    </w:p>
    <w:p>
      <w:pPr>
        <w:pStyle w:val="FirstParagraph"/>
      </w:pPr>
      <w:r>
        <w:t xml:space="preserve">Status: Doctrinally received; typed explanatory argument.</w:t>
      </w:r>
    </w:p>
    <w:p>
      <w:pPr>
        <w:pStyle w:val="BodyText"/>
      </w:pPr>
      <w:r>
        <w:t xml:space="preserve">The Son is eternally begotten of the Father; the Spirit eternally proceeds. These are positive personal determinations, not concessions to imperfect deity. A created effect receives limited existence and remains distinct from its cause in nature. The Son is of the same undivided divine nature as the Father. Eternal generation therefore cannot mean that a previously nonexistent Son acquires deity, that the Father distributes a share of substance, or that an external principle actualizes either Person.</w:t>
      </w:r>
      <w:r>
        <w:t xml:space="preserve"> </w:t>
      </w:r>
      <w:r>
        <w:t xml:space="preserve">‘</w:t>
      </w:r>
      <w:r>
        <w:t xml:space="preserve">Begotten, not made</w:t>
      </w:r>
      <w:r>
        <w:t xml:space="preserve">’</w:t>
      </w:r>
      <w:r>
        <w:t xml:space="preserve"> </w:t>
      </w:r>
      <w:r>
        <w:t xml:space="preserve">marks a difference in kind, not merely an unusually early event.</w:t>
      </w:r>
    </w:p>
    <w:p>
      <w:pPr>
        <w:pStyle w:val="BodyText"/>
      </w:pPr>
      <w:r>
        <w:t xml:space="preserve">This corrects an important overextension of underivation. The divine nature receives actuality from no external source, but not every divine Person is unbegotten: that personal property belongs to the Father. Erasing the Son’s origin in order to protect deity would contradict the revelation the argument is meant to articulate. Conversely, treating origin as creaturely dependence would deny consubstantiality. The indispensable theological premise is that eternal personal origin communicates the same undivided deity without change, deficiency, or temporal priority (CCC 242–248).</w:t>
      </w:r>
    </w:p>
    <w:bookmarkStart w:id="259" w:name="personal-origin-without-acquired-deity"/>
    <w:p>
      <w:pPr>
        <w:pStyle w:val="Heading3"/>
      </w:pPr>
      <w:r>
        <w:t xml:space="preserve">Personal origin without acquired deity</w:t>
      </w:r>
    </w:p>
    <w:p>
      <w:pPr>
        <w:pStyle w:val="FirstParagraph"/>
      </w:pPr>
      <w:r>
        <w:t xml:space="preserve">Theological reasoning from consubstantiality and eternal origin</w:t>
      </w:r>
    </w:p>
    <w:p>
      <w:pPr>
        <w:pStyle w:val="BodyText"/>
      </w:pPr>
      <w:r>
        <w:t xml:space="preserve">Indispensable premises:</w:t>
      </w:r>
    </w:p>
    <w:p>
      <w:pPr>
        <w:pStyle w:val="Compact"/>
        <w:numPr>
          <w:ilvl w:val="0"/>
          <w:numId w:val="1042"/>
        </w:numPr>
      </w:pPr>
      <w:r>
        <w:t xml:space="preserve">The Son is eternally from the Father and wholly consubstantial with him.</w:t>
      </w:r>
    </w:p>
    <w:p>
      <w:pPr>
        <w:pStyle w:val="Compact"/>
        <w:numPr>
          <w:ilvl w:val="0"/>
          <w:numId w:val="1042"/>
        </w:numPr>
      </w:pPr>
      <w:r>
        <w:t xml:space="preserve">The divine nature is neither divided nor actualized by an external principle.</w:t>
      </w:r>
    </w:p>
    <w:p>
      <w:pPr>
        <w:pStyle w:val="FirstParagraph"/>
      </w:pPr>
      <w:r>
        <w:t xml:space="preserve">Why accept the passage?</w:t>
      </w:r>
    </w:p>
    <w:p>
      <w:pPr>
        <w:pStyle w:val="BodyText"/>
      </w:pPr>
      <w:r>
        <w:t xml:space="preserve">Creaturely reception involves an actuality distinct in nature from its source and possessed under created limitation. Identifying generation with that relation contradicts the first premise. An origin that preserves the numerically undivided divine nature must instead be distinguished from created production.</w:t>
      </w:r>
    </w:p>
    <w:p>
      <w:pPr>
        <w:pStyle w:val="BodyText"/>
      </w:pPr>
      <w:r>
        <w:t xml:space="preserve">What follows?</w:t>
      </w:r>
    </w:p>
    <w:p>
      <w:pPr>
        <w:pStyle w:val="BodyText"/>
      </w:pPr>
      <w:r>
        <w:t xml:space="preserve">Personal origin is real without being the acquisition of limited or inferior deity.</w:t>
      </w:r>
    </w:p>
    <w:p>
      <w:pPr>
        <w:pStyle w:val="BodyText"/>
      </w:pPr>
      <w:r>
        <w:t xml:space="preserve">Remaining burden: The argument clarifies the revealed relation; it does not independently establish that such eternal generation occurs. A rival denying consubstantiality rejects a theological premise rather than being refuted by vocabulary alone.</w:t>
      </w:r>
    </w:p>
    <w:bookmarkEnd w:id="259"/>
    <w:bookmarkEnd w:id="260"/>
    <w:bookmarkStart w:id="261" w:name="real-relation-without-an-added-component"/>
    <w:p>
      <w:pPr>
        <w:pStyle w:val="Heading2"/>
      </w:pPr>
      <w:r>
        <w:t xml:space="preserve">Real relation without an added component</w:t>
      </w:r>
    </w:p>
    <w:p>
      <w:pPr>
        <w:pStyle w:val="FirstParagraph"/>
      </w:pPr>
      <w:r>
        <w:t xml:space="preserve">Status: Doctrinally received; constructive clarification.</w:t>
      </w:r>
    </w:p>
    <w:p>
      <w:pPr>
        <w:pStyle w:val="BodyText"/>
      </w:pPr>
      <w:r>
        <w:t xml:space="preserve">Father and Son are not distinguishable by comparing degrees of wisdom, goodness, or power. The difference is relational: the Father begets; the Son is begotten. Nor is paternity an acquired property attached to a divine individual who was already personally Father without it. The revealed Persons subsist in these relations. That is why calling the difference relational cannot mean merely conceptual. Its reality is essential to the doctrine, while its character must exclude a composition of subject and added accidental property.</w:t>
      </w:r>
    </w:p>
    <w:p>
      <w:pPr>
        <w:pStyle w:val="BodyText"/>
      </w:pPr>
      <w:r>
        <w:t xml:space="preserve">Mutual interiority follows the doctrinal insistence that the deity remains undivided: the Father is wholly in the Son and Spirit, and likewise each in the others (CCC 255). This is not spatial containment or the blending of three psychological interiors. It expresses inseparable divine life without personal interchangeability. Latin and Greek accounts illuminate aspects of this confession differently. The Catholic account of the Spirit’s procession from Father and Son as one principle must preserve the Father’s first origin; it must also acknowledge the historical and continuing ecumenical disagreements rather than announce that all formulations already mean exactly the same thing.</w:t>
      </w:r>
    </w:p>
    <w:bookmarkEnd w:id="261"/>
    <w:bookmarkStart w:id="263" w:name="X5600a072b2f06bf7fca45eee8ab745aa6f29db0"/>
    <w:p>
      <w:pPr>
        <w:pStyle w:val="Heading2"/>
      </w:pPr>
      <w:r>
        <w:t xml:space="preserve">One divine action, personally differentiated missions</w:t>
      </w:r>
    </w:p>
    <w:p>
      <w:pPr>
        <w:pStyle w:val="FirstParagraph"/>
      </w:pPr>
      <w:r>
        <w:t xml:space="preserve">Status: Doctrinally received; explanatory application.</w:t>
      </w:r>
    </w:p>
    <w:p>
      <w:pPr>
        <w:pStyle w:val="BodyText"/>
      </w:pPr>
      <w:r>
        <w:t xml:space="preserve">Creation is not divided into the Father’s contribution, the Son’s contribution, and the Spirit’s contribution. The three act inseparably through one divine power. Nevertheless, the Incarnation is properly the mission of the Son: the Father and Spirit do not become incarnate. The difference is intelligible when common causation is distinguished from the personal terminus of the union. The whole Trinity causes the created humanity and its union; that humanity is personally the Son’s. Common agency does not require that every resulting personal relation be common.</w:t>
      </w:r>
    </w:p>
    <w:p>
      <w:pPr>
        <w:pStyle w:val="BodyText"/>
      </w:pPr>
      <w:r>
        <w:t xml:space="preserve">This distinction also disciplines the reading of salvation history. Language associating creation with the Father, wisdom with the Son, or sanctification with the Spirit does not distribute three faculties among separate agents. Such appropriations disclose an intelligible fittingness within inseparable action. The missions reveal genuine personal properties rather than a cooperative arrangement among independently sufficient causes. Conversely, identical outward effects could not, simply by causal inspection, reveal all the personal origins. Recognizing a mission requires the revelation that identifies the one who is sent.</w:t>
      </w:r>
    </w:p>
    <w:bookmarkStart w:id="262" w:name="X5d14bb210e3c912c5db7fbca088a419d4cd7793"/>
    <w:p>
      <w:pPr>
        <w:pStyle w:val="Heading3"/>
      </w:pPr>
      <w:r>
        <w:t xml:space="preserve">Common operation and proper personal terminus</w:t>
      </w:r>
    </w:p>
    <w:p>
      <w:pPr>
        <w:pStyle w:val="FirstParagraph"/>
      </w:pPr>
      <w:r>
        <w:t xml:space="preserve">Theological explanation of the Son’s unique Incarnation</w:t>
      </w:r>
    </w:p>
    <w:p>
      <w:pPr>
        <w:pStyle w:val="BodyText"/>
      </w:pPr>
      <w:r>
        <w:t xml:space="preserve">Indispensable premises:</w:t>
      </w:r>
    </w:p>
    <w:p>
      <w:pPr>
        <w:pStyle w:val="Compact"/>
        <w:numPr>
          <w:ilvl w:val="0"/>
          <w:numId w:val="1043"/>
        </w:numPr>
      </w:pPr>
      <w:r>
        <w:t xml:space="preserve">The divine operation toward creation is inseparable.</w:t>
      </w:r>
    </w:p>
    <w:p>
      <w:pPr>
        <w:pStyle w:val="Compact"/>
        <w:numPr>
          <w:ilvl w:val="0"/>
          <w:numId w:val="1043"/>
        </w:numPr>
      </w:pPr>
      <w:r>
        <w:t xml:space="preserve">Only the Son personally assumes the human nature of Jesus Christ.</w:t>
      </w:r>
    </w:p>
    <w:p>
      <w:pPr>
        <w:pStyle w:val="FirstParagraph"/>
      </w:pPr>
      <w:r>
        <w:t xml:space="preserve">Why accept the passage?</w:t>
      </w:r>
    </w:p>
    <w:p>
      <w:pPr>
        <w:pStyle w:val="BodyText"/>
      </w:pPr>
      <w:r>
        <w:t xml:space="preserve">Causing a union and being the Person to whom a nature is united are different relations. The first can be common while the second is proper. A rival making every common cause personally incarnate confuses efficient causation with the subject of the union.</w:t>
      </w:r>
    </w:p>
    <w:p>
      <w:pPr>
        <w:pStyle w:val="BodyText"/>
      </w:pPr>
      <w:r>
        <w:t xml:space="preserve">What follows?</w:t>
      </w:r>
    </w:p>
    <w:p>
      <w:pPr>
        <w:pStyle w:val="BodyText"/>
      </w:pPr>
      <w:r>
        <w:t xml:space="preserve">The Son’s unique mission is compatible with the common divine operation.</w:t>
      </w:r>
    </w:p>
    <w:p>
      <w:pPr>
        <w:pStyle w:val="BodyText"/>
      </w:pPr>
      <w:r>
        <w:t xml:space="preserve">Remaining burden: The distinction requires the revealed personal identification of the Son and does not generate the missions from causality alone.</w:t>
      </w:r>
    </w:p>
    <w:bookmarkEnd w:id="262"/>
    <w:bookmarkEnd w:id="263"/>
    <w:bookmarkStart w:id="264" w:name="prayer-enters-a-life-it-does-not-create"/>
    <w:p>
      <w:pPr>
        <w:pStyle w:val="Heading2"/>
      </w:pPr>
      <w:r>
        <w:t xml:space="preserve">Prayer enters a life it does not create</w:t>
      </w:r>
    </w:p>
    <w:p>
      <w:pPr>
        <w:pStyle w:val="FirstParagraph"/>
      </w:pPr>
      <w:r>
        <w:t xml:space="preserve">Status: Doctrinally received; spiritual application.</w:t>
      </w:r>
    </w:p>
    <w:p>
      <w:pPr>
        <w:pStyle w:val="BodyText"/>
      </w:pPr>
      <w:r>
        <w:t xml:space="preserve">Christian prayer to the Father through the Son in the Holy Spirit is a received share in divine communion. The creature does not complete an otherwise lonely God. The Trinity eternally possesses the fullness of divine life, and the creature is freely brought into a relation it could not establish by its own powers. Adoption is therefore a new created gift and a real communion, not the discovery that a human person has always been a fourth divine Person.</w:t>
      </w:r>
    </w:p>
    <w:p>
      <w:pPr>
        <w:pStyle w:val="BodyText"/>
      </w:pPr>
      <w:r>
        <w:t xml:space="preserve">Praying directly to Jesus or the Spirit does not divide worship among competing divine recipients. Each is truly God, and relation to one never severs the others. The relational pattern still matters: being led to the Father through the Son in the Spirit gives Christian prayer its concrete shape (CCC 259–260). The Rosary belongs within this movement because its contemplation of Christ with Mary serves participation in Christ’s filial life. Mary and the saints share that life by grace; their communion is not another eternal procession within the Godhead.</w:t>
      </w:r>
    </w:p>
    <w:bookmarkEnd w:id="264"/>
    <w:bookmarkStart w:id="265" w:name="Xbe86f2948b22c48390469d17539394667df89dc"/>
    <w:p>
      <w:pPr>
        <w:pStyle w:val="Heading2"/>
      </w:pPr>
      <w:r>
        <w:t xml:space="preserve">Why the mystery changes the philosophical toolkit</w:t>
      </w:r>
    </w:p>
    <w:p>
      <w:pPr>
        <w:pStyle w:val="FirstParagraph"/>
      </w:pPr>
      <w:r>
        <w:t xml:space="preserve">Status: Historical comparison; constructive assessment.</w:t>
      </w:r>
    </w:p>
    <w:p>
      <w:pPr>
        <w:pStyle w:val="BodyText"/>
      </w:pPr>
      <w:r>
        <w:t xml:space="preserve">Gregory Nazianzen’s confession of equal deity, reproduced in CCC 256, insists on holding unity and threefold personal distinction together. His Oration 29 §16 gives a sharper category correction: Father names neither a separate essence nor an action, but a relation to the Son. Its value here is corrective: neither unity nor distinction may become the master term that erases the other. The supplied manuscript develops the distinction between essential actuality and personal origin constructively, without making the present architecture Gregory’s own theory.</w:t>
      </w:r>
    </w:p>
    <w:p>
      <w:pPr>
        <w:pStyle w:val="BodyText"/>
      </w:pPr>
      <w:r>
        <w:t xml:space="preserve">Creaturely images can assist thought only under limits. Three human friends suggest communion but introduce three instances of nature. One mind’s different activities suggest inseparable life but can reduce the Persons to faculties. A spring and its stream suggest origin but introduce material division and temporal flow. Their failure does not make the doctrine meaningless; it specifies what must not be transferred. The philosophical gain is a more discriminating grammar of real relation, one that leaves room for revealed personal distinction without claiming that every real difference is automatically a constituent of a larger whole.</w:t>
      </w:r>
    </w:p>
    <w:bookmarkEnd w:id="265"/>
    <w:bookmarkStart w:id="273" w:name="core-questions-and-answers-3"/>
    <w:p>
      <w:pPr>
        <w:pStyle w:val="Heading2"/>
      </w:pPr>
      <w:r>
        <w:t xml:space="preserve">Core questions and answers</w:t>
      </w:r>
    </w:p>
    <w:bookmarkStart w:id="266" w:name="X4fef1b58af2165169d6d72ca1473ea2f2ea6ee4"/>
    <w:p>
      <w:pPr>
        <w:pStyle w:val="Heading3"/>
      </w:pPr>
      <w:r>
        <w:t xml:space="preserve">Is saying that God is one and three simply a contradiction?</w:t>
      </w:r>
    </w:p>
    <w:p>
      <w:pPr>
        <w:pStyle w:val="FirstParagraph"/>
      </w:pPr>
      <w:r>
        <w:t xml:space="preserve">No. The confession counts one undivided divine nature and three really distinct Persons. It does not assert one Person and three Persons in the same respect. Each Person is wholly God; the deity is not a genus containing three separately existing examples.</w:t>
      </w:r>
    </w:p>
    <w:p>
      <w:pPr>
        <w:pStyle w:val="BodyText"/>
      </w:pPr>
      <w:r>
        <w:t xml:space="preserve">That distinction identifies the doctrine’s logical shape without completing its formal semantics. A proposed model must still explain how personal nonidentity and undivided deity are expressed without illicit substitutions or a fourth divine object. The ordinary human arrangement of three persons and three instances of nature cannot simply be imported.</w:t>
      </w:r>
    </w:p>
    <w:bookmarkEnd w:id="266"/>
    <w:bookmarkStart w:id="267" w:name="counting-under-a-specified-respect"/>
    <w:p>
      <w:pPr>
        <w:pStyle w:val="Heading3"/>
      </w:pPr>
      <w:r>
        <w:t xml:space="preserve">Counting under a specified respect</w:t>
      </w:r>
    </w:p>
    <w:p>
      <w:pPr>
        <w:pStyle w:val="FirstParagraph"/>
      </w:pPr>
      <w:r>
        <w:t xml:space="preserve">Limited logical clarification</w:t>
      </w:r>
    </w:p>
    <w:p>
      <w:pPr>
        <w:pStyle w:val="BodyText"/>
      </w:pPr>
      <w:r>
        <w:t xml:space="preserve">Indispensable premises:</w:t>
      </w:r>
    </w:p>
    <w:p>
      <w:pPr>
        <w:pStyle w:val="Compact"/>
        <w:numPr>
          <w:ilvl w:val="0"/>
          <w:numId w:val="1044"/>
        </w:numPr>
      </w:pPr>
      <w:r>
        <w:t xml:space="preserve">Contradiction requires incompatible claims in the same respect.</w:t>
      </w:r>
    </w:p>
    <w:p>
      <w:pPr>
        <w:pStyle w:val="Compact"/>
        <w:numPr>
          <w:ilvl w:val="0"/>
          <w:numId w:val="1044"/>
        </w:numPr>
      </w:pPr>
      <w:r>
        <w:t xml:space="preserve">Nature and Person name distinct respects in the confession.</w:t>
      </w:r>
    </w:p>
    <w:p>
      <w:pPr>
        <w:pStyle w:val="FirstParagraph"/>
      </w:pPr>
      <w:r>
        <w:t xml:space="preserve">Why accept the passage?</w:t>
      </w:r>
    </w:p>
    <w:p>
      <w:pPr>
        <w:pStyle w:val="BodyText"/>
      </w:pPr>
      <w:r>
        <w:t xml:space="preserve">The numerical predicates have different specified subjects of counting. A rival contradiction argument succeeds only if it establishes that these respects collapse into one, rather than assuming their equivalence.</w:t>
      </w:r>
    </w:p>
    <w:p>
      <w:pPr>
        <w:pStyle w:val="BodyText"/>
      </w:pPr>
      <w:r>
        <w:t xml:space="preserve">What follows?</w:t>
      </w:r>
    </w:p>
    <w:p>
      <w:pPr>
        <w:pStyle w:val="BodyText"/>
      </w:pPr>
      <w:r>
        <w:t xml:space="preserve">The verbal formula does not alone state a formal contradiction.</w:t>
      </w:r>
    </w:p>
    <w:p>
      <w:pPr>
        <w:pStyle w:val="BodyText"/>
      </w:pPr>
      <w:r>
        <w:t xml:space="preserve">Remaining burden: A positive complete model of Trinitarian identity requires further work; this is not a natural proof of the doctrine.</w:t>
      </w:r>
    </w:p>
    <w:p>
      <w:pPr>
        <w:pStyle w:val="BodyText"/>
      </w:pPr>
      <w:hyperlink r:id="rId193">
        <w:r>
          <w:rPr>
            <w:rStyle w:val="Hyperlink"/>
          </w:rPr>
          <w:t xml:space="preserve">The grammar of nature and person</w:t>
        </w:r>
      </w:hyperlink>
    </w:p>
    <w:bookmarkEnd w:id="267"/>
    <w:bookmarkStart w:id="268" w:name="X5639779a3ecaefb3f76c9afbcfe468d4d779efc"/>
    <w:p>
      <w:pPr>
        <w:pStyle w:val="Heading3"/>
      </w:pPr>
      <w:r>
        <w:t xml:space="preserve">If the Son is from the Father, is the Son dependent and therefore less than God?</w:t>
      </w:r>
    </w:p>
    <w:p>
      <w:pPr>
        <w:pStyle w:val="FirstParagraph"/>
      </w:pPr>
      <w:r>
        <w:t xml:space="preserve">The Son is really from the Father, but eternal generation is not the production of a finite effect or the reception of a missing perfection. Catholic faith confesses the Son as eternally consubstantial with the Father. There is no earlier Father who later produces a Son, and no division into greater and lesser deity.</w:t>
      </w:r>
    </w:p>
    <w:p>
      <w:pPr>
        <w:pStyle w:val="BodyText"/>
      </w:pPr>
      <w:r>
        <w:t xml:space="preserve">The simplicity argument must therefore specify what sort of dependence it excludes: constitutive or actualizing dependence incompatible with divine fullness. It cannot silently replace that claim with</w:t>
      </w:r>
      <w:r>
        <w:t xml:space="preserve"> </w:t>
      </w:r>
      <w:r>
        <w:t xml:space="preserve">‘</w:t>
      </w:r>
      <w:r>
        <w:t xml:space="preserve">no divine Person is from another.</w:t>
      </w:r>
      <w:r>
        <w:t xml:space="preserve">’</w:t>
      </w:r>
      <w:r>
        <w:t xml:space="preserve"> </w:t>
      </w:r>
      <w:r>
        <w:t xml:space="preserve">The Father alone is unbegotten; the Son’s being begotten is a personal distinction, not a defect.</w:t>
      </w:r>
    </w:p>
    <w:bookmarkEnd w:id="268"/>
    <w:bookmarkStart w:id="269" w:name="Xa2a47d5c66699b1b412943e4bf7cb8af13040fe"/>
    <w:p>
      <w:pPr>
        <w:pStyle w:val="Heading3"/>
      </w:pPr>
      <w:r>
        <w:t xml:space="preserve">Typed origin rather than universal nonorigin</w:t>
      </w:r>
    </w:p>
    <w:p>
      <w:pPr>
        <w:pStyle w:val="FirstParagraph"/>
      </w:pPr>
      <w:r>
        <w:t xml:space="preserve">Theological inference from equal deity</w:t>
      </w:r>
    </w:p>
    <w:p>
      <w:pPr>
        <w:pStyle w:val="BodyText"/>
      </w:pPr>
      <w:r>
        <w:t xml:space="preserve">Indispensable premises:</w:t>
      </w:r>
    </w:p>
    <w:p>
      <w:pPr>
        <w:pStyle w:val="Compact"/>
        <w:numPr>
          <w:ilvl w:val="0"/>
          <w:numId w:val="1045"/>
        </w:numPr>
      </w:pPr>
      <w:r>
        <w:t xml:space="preserve">The Son is eternally begotten and possesses the whole undivided deity.</w:t>
      </w:r>
    </w:p>
    <w:p>
      <w:pPr>
        <w:pStyle w:val="Compact"/>
        <w:numPr>
          <w:ilvl w:val="0"/>
          <w:numId w:val="1045"/>
        </w:numPr>
      </w:pPr>
      <w:r>
        <w:t xml:space="preserve">Creaturely production gives an effect a distinct and limited actuality.</w:t>
      </w:r>
    </w:p>
    <w:p>
      <w:pPr>
        <w:pStyle w:val="FirstParagraph"/>
      </w:pPr>
      <w:r>
        <w:t xml:space="preserve">Why accept the passage?</w:t>
      </w:r>
    </w:p>
    <w:p>
      <w:pPr>
        <w:pStyle w:val="BodyText"/>
      </w:pPr>
      <w:r>
        <w:t xml:space="preserve">Identifying the two relations would impose the effect’s finite mode on the divine Son and negate consubstantiality. The reason for distinguishing them is the positive revealed combination of origin and equal deity, not an exemption invented after a contradiction.</w:t>
      </w:r>
    </w:p>
    <w:p>
      <w:pPr>
        <w:pStyle w:val="BodyText"/>
      </w:pPr>
      <w:r>
        <w:t xml:space="preserve">What follows?</w:t>
      </w:r>
    </w:p>
    <w:p>
      <w:pPr>
        <w:pStyle w:val="BodyText"/>
      </w:pPr>
      <w:r>
        <w:t xml:space="preserve">Being from the Father does not entail acquired or inferior deity.</w:t>
      </w:r>
    </w:p>
    <w:p>
      <w:pPr>
        <w:pStyle w:val="BodyText"/>
      </w:pPr>
      <w:r>
        <w:t xml:space="preserve">Remaining burden: Rejecting eternal consubstantiality leaves a substantive theological disagreement; the distinction does not compel assent to revelation.</w:t>
      </w:r>
    </w:p>
    <w:p>
      <w:pPr>
        <w:pStyle w:val="BodyText"/>
      </w:pPr>
      <w:hyperlink r:id="rId161">
        <w:r>
          <w:rPr>
            <w:rStyle w:val="Hyperlink"/>
          </w:rPr>
          <w:t xml:space="preserve">What underivation establishes</w:t>
        </w:r>
      </w:hyperlink>
    </w:p>
    <w:bookmarkEnd w:id="269"/>
    <w:bookmarkStart w:id="270" w:name="X51c1b39e9b75d2db523f5eca9c4759fb5ee95cd"/>
    <w:p>
      <w:pPr>
        <w:pStyle w:val="Heading3"/>
      </w:pPr>
      <w:r>
        <w:t xml:space="preserve">Does prayer to three Persons imply three divine minds or three competing wills?</w:t>
      </w:r>
    </w:p>
    <w:p>
      <w:pPr>
        <w:pStyle w:val="FirstParagraph"/>
      </w:pPr>
      <w:r>
        <w:t xml:space="preserve">No. Catholic doctrine confesses one divine nature, knowledge, power, and operation, together with three real personal distinctions. It does not define the Persons as three independent psychological centers negotiating a shared project. Addressing the Son genuinely addresses a distinct Person without excluding the Father and Spirit from divine action.</w:t>
      </w:r>
    </w:p>
    <w:p>
      <w:pPr>
        <w:pStyle w:val="BodyText"/>
      </w:pPr>
      <w:r>
        <w:t xml:space="preserve">Contemporary accounts of divine consciousness must be assessed as philosophical models rather than read back into the word Person. The practical theological pattern is clearer: prayer is directed to the Father through the Son in the Spirit, and direct prayer to each remains worship of the one God. Personal communion adds no missing divine perfection.</w:t>
      </w:r>
    </w:p>
    <w:bookmarkEnd w:id="270"/>
    <w:bookmarkStart w:id="272" w:name="X40f1c83177776da7d3c382a1e378221a9a6ac1e"/>
    <w:p>
      <w:pPr>
        <w:pStyle w:val="Heading3"/>
      </w:pPr>
      <w:r>
        <w:t xml:space="preserve">Personal address within inseparable divine life</w:t>
      </w:r>
    </w:p>
    <w:p>
      <w:pPr>
        <w:pStyle w:val="FirstParagraph"/>
      </w:pPr>
      <w:r>
        <w:t xml:space="preserve">Doctrinal premise applied to prayer</w:t>
      </w:r>
    </w:p>
    <w:p>
      <w:pPr>
        <w:pStyle w:val="BodyText"/>
      </w:pPr>
      <w:r>
        <w:t xml:space="preserve">Indispensable premises:</w:t>
      </w:r>
    </w:p>
    <w:p>
      <w:pPr>
        <w:pStyle w:val="Compact"/>
        <w:numPr>
          <w:ilvl w:val="0"/>
          <w:numId w:val="1046"/>
        </w:numPr>
      </w:pPr>
      <w:r>
        <w:t xml:space="preserve">Each Person is wholly God and really distinct in relation of origin.</w:t>
      </w:r>
    </w:p>
    <w:p>
      <w:pPr>
        <w:pStyle w:val="Compact"/>
        <w:numPr>
          <w:ilvl w:val="0"/>
          <w:numId w:val="1046"/>
        </w:numPr>
      </w:pPr>
      <w:r>
        <w:t xml:space="preserve">The divine operation is undivided.</w:t>
      </w:r>
    </w:p>
    <w:p>
      <w:pPr>
        <w:pStyle w:val="FirstParagraph"/>
      </w:pPr>
      <w:r>
        <w:t xml:space="preserve">Why accept the passage?</w:t>
      </w:r>
    </w:p>
    <w:p>
      <w:pPr>
        <w:pStyle w:val="BodyText"/>
      </w:pPr>
      <w:r>
        <w:t xml:space="preserve">Address tracks personal distinction; rival operations would require a further plurality of divine powers or wills that the premises do not grant. Distinct address therefore does not entail competing divine agency.</w:t>
      </w:r>
    </w:p>
    <w:p>
      <w:pPr>
        <w:pStyle w:val="BodyText"/>
      </w:pPr>
      <w:r>
        <w:t xml:space="preserve">What follows?</w:t>
      </w:r>
    </w:p>
    <w:p>
      <w:pPr>
        <w:pStyle w:val="BodyText"/>
      </w:pPr>
      <w:r>
        <w:t xml:space="preserve">Prayer can be personally differentiated and wholly monotheistic.</w:t>
      </w:r>
    </w:p>
    <w:p>
      <w:pPr>
        <w:pStyle w:val="BodyText"/>
      </w:pPr>
      <w:r>
        <w:t xml:space="preserve">Remaining burden: The claim does not settle every contemporary model of consciousness or supply an exhaustive psychology of divine life.</w:t>
      </w:r>
    </w:p>
    <w:p>
      <w:pPr>
        <w:pStyle w:val="BodyText"/>
      </w:pPr>
      <w:hyperlink r:id="rId271">
        <w:r>
          <w:rPr>
            <w:rStyle w:val="Hyperlink"/>
          </w:rPr>
          <w:t xml:space="preserve">Grace, prayer, and the Rosary</w:t>
        </w:r>
      </w:hyperlink>
    </w:p>
    <w:bookmarkEnd w:id="272"/>
    <w:bookmarkEnd w:id="273"/>
    <w:bookmarkStart w:id="279" w:name="sources-and-precise-use-3"/>
    <w:p>
      <w:pPr>
        <w:pStyle w:val="Heading2"/>
      </w:pPr>
      <w:r>
        <w:t xml:space="preserve">Sources and precise use</w:t>
      </w:r>
    </w:p>
    <w:bookmarkStart w:id="274" w:name="X07ed7b4154a528fa998c16367e2af397e6a3687"/>
    <w:p>
      <w:pPr>
        <w:pStyle w:val="Heading3"/>
      </w:pPr>
      <w:r>
        <w:t xml:space="preserve">Catholic Church: Catechism of the Catholic Church, second edition</w:t>
      </w:r>
    </w:p>
    <w:p>
      <w:pPr>
        <w:pStyle w:val="FirstParagraph"/>
      </w:pPr>
      <w:r>
        <w:t xml:space="preserve">Locus: CCC 232–260, especially 237, 242–248, 252–258.</w:t>
      </w:r>
    </w:p>
    <w:p>
      <w:pPr>
        <w:pStyle w:val="BodyText"/>
      </w:pPr>
      <w:r>
        <w:t xml:space="preserve">Status: Supplied primary text: selected passages consulted.</w:t>
      </w:r>
    </w:p>
    <w:p>
      <w:pPr>
        <w:pStyle w:val="BodyText"/>
      </w:pPr>
      <w:r>
        <w:t xml:space="preserve">Contribution: Revelatory warrant; one nature and three Persons; relations of origin; procession; inseparable operation and divine missions.</w:t>
      </w:r>
    </w:p>
    <w:p>
      <w:pPr>
        <w:pStyle w:val="BodyText"/>
      </w:pPr>
      <w:r>
        <w:t xml:space="preserve">Limit: The supplied Word text was consulted. Its paragraph formatting is imperfect; standard CCC paragraph loci identify the passages. This is a doctrinal source, not a demonstration from neutral premises.</w:t>
      </w:r>
    </w:p>
    <w:p>
      <w:pPr>
        <w:pStyle w:val="BodyText"/>
      </w:pPr>
      <w:r>
        <w:t xml:space="preserve">Source/provenance: https://www.vatican.va/archive/ENG0015/__P17.HTM</w:t>
      </w:r>
    </w:p>
    <w:bookmarkEnd w:id="274"/>
    <w:bookmarkStart w:id="275" w:name="second-vatican-council-dei-verbum-1"/>
    <w:p>
      <w:pPr>
        <w:pStyle w:val="Heading3"/>
      </w:pPr>
      <w:r>
        <w:t xml:space="preserve">Second Vatican Council: Dei Verbum</w:t>
      </w:r>
    </w:p>
    <w:p>
      <w:pPr>
        <w:pStyle w:val="FirstParagraph"/>
      </w:pPr>
      <w:r>
        <w:t xml:space="preserve">Locus: Sections 2 and 4–5.</w:t>
      </w:r>
    </w:p>
    <w:p>
      <w:pPr>
        <w:pStyle w:val="BodyText"/>
      </w:pPr>
      <w:r>
        <w:t xml:space="preserve">Status: Supplied primary text: selected passages consulted.</w:t>
      </w:r>
    </w:p>
    <w:p>
      <w:pPr>
        <w:pStyle w:val="BodyText"/>
      </w:pPr>
      <w:r>
        <w:t xml:space="preserve">Contribution: Revelation through Christ, access to the Father in the Spirit, and the grace-enabled personal response of faith.</w:t>
      </w:r>
    </w:p>
    <w:p>
      <w:pPr>
        <w:pStyle w:val="BodyText"/>
      </w:pPr>
      <w:r>
        <w:t xml:space="preserve">Limit: These passages warrant a theological starting point; they do not independently verify every historical argument for revelation.</w:t>
      </w:r>
    </w:p>
    <w:p>
      <w:pPr>
        <w:pStyle w:val="BodyText"/>
      </w:pPr>
      <w:r>
        <w:t xml:space="preserve">Source/provenance: https://www.vatican.va/archive/hist_councils/ii_vatican_council/documents/vat-ii_const_19651118_dei-verbum_en.html</w:t>
      </w:r>
    </w:p>
    <w:bookmarkEnd w:id="275"/>
    <w:bookmarkStart w:id="276" w:name="X793629eec9deea354ae0b27dea124b6bcfe25b0"/>
    <w:p>
      <w:pPr>
        <w:pStyle w:val="Heading3"/>
      </w:pPr>
      <w:r>
        <w:t xml:space="preserve">Gregory of Nazianzus: Oration 40, On Holy Baptism</w:t>
      </w:r>
    </w:p>
    <w:p>
      <w:pPr>
        <w:pStyle w:val="FirstParagraph"/>
      </w:pPr>
      <w:r>
        <w:t xml:space="preserve">Locus: Section 41, excerpt reproduced in CCC 256.</w:t>
      </w:r>
    </w:p>
    <w:p>
      <w:pPr>
        <w:pStyle w:val="BodyText"/>
      </w:pPr>
      <w:r>
        <w:t xml:space="preserve">Status: Primary excerpt consulted within the supplied Catechism.</w:t>
      </w:r>
    </w:p>
    <w:p>
      <w:pPr>
        <w:pStyle w:val="BodyText"/>
      </w:pPr>
      <w:r>
        <w:t xml:space="preserve">Contribution: Equal and undivided deity together with real threefold personal distinction.</w:t>
      </w:r>
    </w:p>
    <w:p>
      <w:pPr>
        <w:pStyle w:val="BodyText"/>
      </w:pPr>
      <w:r>
        <w:t xml:space="preserve">Limit: The excerpt was consulted through the Catechism; the complete oration and critical Greek edition were not newly inspected.</w:t>
      </w:r>
    </w:p>
    <w:p>
      <w:pPr>
        <w:pStyle w:val="BodyText"/>
      </w:pPr>
      <w:r>
        <w:t xml:space="preserve">Source/provenance: https://www.vatican.va/archive/ENG0015/__P17.HTM</w:t>
      </w:r>
    </w:p>
    <w:bookmarkEnd w:id="276"/>
    <w:bookmarkStart w:id="277" w:name="X056dae597e065ec586a32fd4e42420e01b59668"/>
    <w:p>
      <w:pPr>
        <w:pStyle w:val="Heading3"/>
      </w:pPr>
      <w:r>
        <w:t xml:space="preserve">Gregory of Nazianzus: Oration 29, Third Theological Oration</w:t>
      </w:r>
    </w:p>
    <w:p>
      <w:pPr>
        <w:pStyle w:val="FirstParagraph"/>
      </w:pPr>
      <w:r>
        <w:t xml:space="preserve">Locus: Section 16; project source ledger GN-R.</w:t>
      </w:r>
    </w:p>
    <w:p>
      <w:pPr>
        <w:pStyle w:val="BodyText"/>
      </w:pPr>
      <w:r>
        <w:t xml:space="preserve">Status: Inherited primary consultation: Browne and Swallow translation, NPNF second series VII.</w:t>
      </w:r>
    </w:p>
    <w:p>
      <w:pPr>
        <w:pStyle w:val="BodyText"/>
      </w:pPr>
      <w:r>
        <w:t xml:space="preserve">Contribution: Father names a relation rather than another essence or an act of creaturely production.</w:t>
      </w:r>
    </w:p>
    <w:p>
      <w:pPr>
        <w:pStyle w:val="BodyText"/>
      </w:pPr>
      <w:r>
        <w:t xml:space="preserve">Limit: The existing project’s consulted translation is inherited here; the Greek critical text was not newly collated. The relational naming argument does not establish a complete modern identity semantics.</w:t>
      </w:r>
    </w:p>
    <w:p>
      <w:pPr>
        <w:pStyle w:val="BodyText"/>
      </w:pPr>
      <w:r>
        <w:t xml:space="preserve">Source/provenance: https://ccel.org/ccel/schaff/npnf207/npnf207.iii.xv.html</w:t>
      </w:r>
    </w:p>
    <w:bookmarkEnd w:id="277"/>
    <w:bookmarkStart w:id="278" w:name="X9b2410fe264ab7784aa295cec49dd84a27f9dce"/>
    <w:p>
      <w:pPr>
        <w:pStyle w:val="Heading3"/>
      </w:pPr>
      <w:r>
        <w:t xml:space="preserve">Robert Dryer, supplied constructive manuscript: Being-First and Measured Manifestation: Definitive Synthetic Edition</w:t>
      </w:r>
    </w:p>
    <w:p>
      <w:pPr>
        <w:pStyle w:val="FirstParagraph"/>
      </w:pPr>
      <w:r>
        <w:t xml:space="preserve">Locus: Chapter 26, Trinity: Distinction Without Constituent Addition.</w:t>
      </w:r>
    </w:p>
    <w:p>
      <w:pPr>
        <w:pStyle w:val="BodyText"/>
      </w:pPr>
      <w:r>
        <w:t xml:space="preserve">Status: Supplied constructive manuscript: selected chapter consulted.</w:t>
      </w:r>
    </w:p>
    <w:p>
      <w:pPr>
        <w:pStyle w:val="BodyText"/>
      </w:pPr>
      <w:r>
        <w:t xml:space="preserve">Contribution: The distinction between essential actuality and personal origin; limits of applying simplicity arguments mechanically to revealed Persons.</w:t>
      </w:r>
    </w:p>
    <w:p>
      <w:pPr>
        <w:pStyle w:val="BodyText"/>
      </w:pPr>
      <w:r>
        <w:t xml:space="preserve">Limit: The chapter supplies a constructive proposal. It is neither an independent historical witness nor a complete formal semantics of the Trinity; the linked guide situates the wider project’s source method.</w:t>
      </w:r>
    </w:p>
    <w:p>
      <w:pPr>
        <w:pStyle w:val="BodyText"/>
      </w:pPr>
      <w:r>
        <w:t xml:space="preserve">Source/provenance: https://participation-6o4.pages.dev/research/reading-guide.md</w:t>
      </w:r>
    </w:p>
    <w:bookmarkEnd w:id="278"/>
    <w:bookmarkEnd w:id="279"/>
    <w:bookmarkStart w:id="280" w:name="where-this-argument-matters-3"/>
    <w:p>
      <w:pPr>
        <w:pStyle w:val="Heading2"/>
      </w:pPr>
      <w:r>
        <w:t xml:space="preserve">Where this argument matters</w:t>
      </w:r>
    </w:p>
    <w:p>
      <w:pPr>
        <w:pStyle w:val="Compact"/>
        <w:numPr>
          <w:ilvl w:val="0"/>
          <w:numId w:val="1047"/>
        </w:numPr>
      </w:pPr>
      <w:hyperlink r:id="rId223">
        <w:r>
          <w:rPr>
            <w:rStyle w:val="Hyperlink"/>
          </w:rPr>
          <w:t xml:space="preserve">Incarnation</w:t>
        </w:r>
      </w:hyperlink>
      <w:r>
        <w:t xml:space="preserve">: The Son’s proper mission tests the distinction between common divine causation and a unique personal union.</w:t>
      </w:r>
    </w:p>
    <w:p>
      <w:pPr>
        <w:pStyle w:val="Compact"/>
        <w:numPr>
          <w:ilvl w:val="0"/>
          <w:numId w:val="1047"/>
        </w:numPr>
      </w:pPr>
      <w:hyperlink r:id="rId207">
        <w:r>
          <w:rPr>
            <w:rStyle w:val="Hyperlink"/>
          </w:rPr>
          <w:t xml:space="preserve">Grace and Prayer</w:t>
        </w:r>
      </w:hyperlink>
      <w:r>
        <w:t xml:space="preserve">: Adoption and prayer explain created communion with the Trinity without a new divine Person.</w:t>
      </w:r>
    </w:p>
    <w:p>
      <w:pPr>
        <w:pStyle w:val="Compact"/>
        <w:numPr>
          <w:ilvl w:val="0"/>
          <w:numId w:val="1047"/>
        </w:numPr>
      </w:pPr>
      <w:hyperlink r:id="rId224">
        <w:r>
          <w:rPr>
            <w:rStyle w:val="Hyperlink"/>
          </w:rPr>
          <w:t xml:space="preserve">Church and Sacrament</w:t>
        </w:r>
      </w:hyperlink>
      <w:r>
        <w:t xml:space="preserve">: Baptismal and liturgical life give this confession an embodied communal form.</w:t>
      </w:r>
    </w:p>
    <w:p>
      <w:r>
        <w:pict>
          <v:rect style="width:0;height:1.5pt" o:hralign="center" o:hrstd="t" o:hr="t"/>
        </w:pict>
      </w:r>
    </w:p>
    <w:bookmarkEnd w:id="280"/>
    <w:bookmarkEnd w:id="281"/>
    <w:bookmarkStart w:id="308" w:name="incarnation-one-person-two-natures"/>
    <w:p>
      <w:pPr>
        <w:pStyle w:val="Heading1"/>
      </w:pPr>
      <w:r>
        <w:t xml:space="preserve">8. Incarnation: One Person, Two Natures</w:t>
      </w:r>
    </w:p>
    <w:p>
      <w:pPr>
        <w:pStyle w:val="FirstParagraph"/>
      </w:pPr>
      <w:r>
        <w:t xml:space="preserve">How can Jesus Christ be truly God and truly human, with real human knowledge, freedom, suffering, and history, without dividing his Person or confusing his natures?</w:t>
      </w:r>
    </w:p>
    <w:p>
      <w:pPr>
        <w:pStyle w:val="BodyText"/>
      </w:pPr>
      <w:r>
        <w:t xml:space="preserve">The Incarnation identifies a Person before offering a theory of mediation: the eternal Son himself became human. The one who speaks, acts, prays, suffers, dies, and rises is the Son of the Father. His humanity is complete and genuinely his; his divinity neither changes into humanity nor replaces a human soul, intellect, or will.</w:t>
      </w:r>
    </w:p>
    <w:p>
      <w:pPr>
        <w:pStyle w:val="BodyText"/>
      </w:pPr>
      <w:r>
        <w:t xml:space="preserve">Catholic doctrine therefore holds together one personal subject and two integral natures. Metaphysics can clarify this conjunction and expose mistaken alternatives. It cannot establish from a general account of participation that this union occurred in Jesus of Nazareth. That identification rests on revelation received through historical testimony and the Church’s confession.</w:t>
      </w:r>
    </w:p>
    <w:bookmarkStart w:id="282" w:name="what-this-page-uses-4"/>
    <w:p>
      <w:pPr>
        <w:pStyle w:val="Heading2"/>
      </w:pPr>
      <w:r>
        <w:t xml:space="preserve">What this page uses</w:t>
      </w:r>
    </w:p>
    <w:p>
      <w:pPr>
        <w:pStyle w:val="Compact"/>
        <w:numPr>
          <w:ilvl w:val="0"/>
          <w:numId w:val="1048"/>
        </w:numPr>
      </w:pPr>
      <w:hyperlink r:id="rId176">
        <w:r>
          <w:rPr>
            <w:rStyle w:val="Hyperlink"/>
          </w:rPr>
          <w:t xml:space="preserve">Trinity</w:t>
        </w:r>
      </w:hyperlink>
      <w:r>
        <w:t xml:space="preserve">: The one who becomes human is the eternal Son; the Incarnation is his proper mission within inseparable divine action.</w:t>
      </w:r>
    </w:p>
    <w:p>
      <w:pPr>
        <w:pStyle w:val="Compact"/>
        <w:numPr>
          <w:ilvl w:val="0"/>
          <w:numId w:val="1048"/>
        </w:numPr>
      </w:pPr>
      <w:hyperlink r:id="rId190">
        <w:r>
          <w:rPr>
            <w:rStyle w:val="Hyperlink"/>
          </w:rPr>
          <w:t xml:space="preserve">Manifestation and Revelation</w:t>
        </w:r>
      </w:hyperlink>
      <w:r>
        <w:t xml:space="preserve">: The historical identity of the revealer requires testimony and interpretation beyond a general possibility of divine disclosure.</w:t>
      </w:r>
    </w:p>
    <w:p>
      <w:pPr>
        <w:pStyle w:val="Compact"/>
        <w:numPr>
          <w:ilvl w:val="0"/>
          <w:numId w:val="1048"/>
        </w:numPr>
      </w:pPr>
      <w:hyperlink r:id="rId162">
        <w:r>
          <w:rPr>
            <w:rStyle w:val="Hyperlink"/>
          </w:rPr>
          <w:t xml:space="preserve">Divine Agency</w:t>
        </w:r>
      </w:hyperlink>
      <w:r>
        <w:t xml:space="preserve">: Divine action and genuine created exercise must be distinguished, although the hypostatic union is unique rather than an ordinary instance of secondary causality.</w:t>
      </w:r>
    </w:p>
    <w:bookmarkEnd w:id="282"/>
    <w:bookmarkStart w:id="283" w:name="what-it-undertakes-to-establish-4"/>
    <w:p>
      <w:pPr>
        <w:pStyle w:val="Heading2"/>
      </w:pPr>
      <w:r>
        <w:t xml:space="preserve">What it undertakes to establish</w:t>
      </w:r>
    </w:p>
    <w:p>
      <w:pPr>
        <w:pStyle w:val="Compact"/>
        <w:numPr>
          <w:ilvl w:val="0"/>
          <w:numId w:val="1049"/>
        </w:numPr>
      </w:pPr>
      <w:r>
        <w:t xml:space="preserve">A positive grammar of one Person acting through complete divine and human natures.</w:t>
      </w:r>
    </w:p>
    <w:p>
      <w:pPr>
        <w:pStyle w:val="Compact"/>
        <w:numPr>
          <w:ilvl w:val="0"/>
          <w:numId w:val="1049"/>
        </w:numPr>
      </w:pPr>
      <w:r>
        <w:t xml:space="preserve">Why human willing and suffering remain real in the hypostatic union.</w:t>
      </w:r>
    </w:p>
    <w:p>
      <w:pPr>
        <w:pStyle w:val="Compact"/>
        <w:numPr>
          <w:ilvl w:val="0"/>
          <w:numId w:val="1049"/>
        </w:numPr>
      </w:pPr>
      <w:r>
        <w:t xml:space="preserve">The Christological basis of Mary’s divine motherhood and of Christ-centered prayer and deification.</w:t>
      </w:r>
    </w:p>
    <w:bookmarkEnd w:id="283"/>
    <w:bookmarkStart w:id="284" w:name="Xc9c6845ec7f84fd49c89c683a9348e1b4cdd941"/>
    <w:p>
      <w:pPr>
        <w:pStyle w:val="Heading2"/>
      </w:pPr>
      <w:r>
        <w:t xml:space="preserve">More than a representation of an absent God</w:t>
      </w:r>
    </w:p>
    <w:p>
      <w:pPr>
        <w:pStyle w:val="FirstParagraph"/>
      </w:pPr>
      <w:r>
        <w:t xml:space="preserve">Status: Doctrinally received; explanatory clarification.</w:t>
      </w:r>
    </w:p>
    <w:p>
      <w:pPr>
        <w:pStyle w:val="BodyText"/>
      </w:pPr>
      <w:r>
        <w:t xml:space="preserve">A picture can represent someone who is absent. A prophet can speak a message entrusted by another. The Christian claim about Jesus is different: the one who lives this human life is personally the eternal Word. His humanity mediates divine self-disclosure because it belongs to this divine Person, not because a finite nature becomes an exhaustive image of divine being. His voice, gestures, friendships, and wounds are genuinely human expressions of the Son’s personal life.</w:t>
      </w:r>
    </w:p>
    <w:p>
      <w:pPr>
        <w:pStyle w:val="BodyText"/>
      </w:pPr>
      <w:r>
        <w:t xml:space="preserve">This is why the humanity cannot be treated as a costume or external instrument lacking its own human principles of action. A visible appearance without human thought and willing would fail to be the human life the doctrine affirms. Equally, a separate human person merely associated with the Son would divide the subject whom the confession identifies as one. The distinctive relation is personal assumption: a complete human nature exists as the Son’s own humanity (CCC 461–470).</w:t>
      </w:r>
    </w:p>
    <w:bookmarkEnd w:id="284"/>
    <w:bookmarkStart w:id="286" w:name="union-preserves-what-it-unites"/>
    <w:p>
      <w:pPr>
        <w:pStyle w:val="Heading2"/>
      </w:pPr>
      <w:r>
        <w:t xml:space="preserve">Union preserves what it unites</w:t>
      </w:r>
    </w:p>
    <w:p>
      <w:pPr>
        <w:pStyle w:val="FirstParagraph"/>
      </w:pPr>
      <w:r>
        <w:t xml:space="preserve">Status: Doctrinally received; philosophical argument from integral natures.</w:t>
      </w:r>
    </w:p>
    <w:p>
      <w:pPr>
        <w:pStyle w:val="BodyText"/>
      </w:pPr>
      <w:r>
        <w:t xml:space="preserve">The Chalcedonian definition, reproduced in CCC 467, requires two natures without confusion, change, division, or separation. These boundaries do positive work. Without confusion and change, the human nature retains its created integrity and the divine nature remains divine. Without division and separation, the two do not become parallel personal lives joined by affection or agreement. The result is neither a third blended nature nor a partnership between a human son and a divine Son.</w:t>
      </w:r>
    </w:p>
    <w:p>
      <w:pPr>
        <w:pStyle w:val="BodyText"/>
      </w:pPr>
      <w:r>
        <w:t xml:space="preserve">God does not need to become intrinsically composite in deity for a created nature to be personally his. The real newness is the assumed humanity and the temporal union, not the repair of an incomplete divine nature. This does not reduce the union to an ordinary external relation. The created humanity has the Son as its subsisting subject. A complete explanation must retain that uniqueness while distinguishing divine nature, human nature, and personal subject; no one of these terms can quietly replace the others.</w:t>
      </w:r>
    </w:p>
    <w:bookmarkStart w:id="285" w:name="integrity-of-the-united-natures"/>
    <w:p>
      <w:pPr>
        <w:pStyle w:val="Heading3"/>
      </w:pPr>
      <w:r>
        <w:t xml:space="preserve">Integrity of the united natures</w:t>
      </w:r>
    </w:p>
    <w:p>
      <w:pPr>
        <w:pStyle w:val="FirstParagraph"/>
      </w:pPr>
      <w:r>
        <w:t xml:space="preserve">Theological reasoning within the Chalcedonian confession</w:t>
      </w:r>
    </w:p>
    <w:p>
      <w:pPr>
        <w:pStyle w:val="BodyText"/>
      </w:pPr>
      <w:r>
        <w:t xml:space="preserve">Indispensable premises:</w:t>
      </w:r>
    </w:p>
    <w:p>
      <w:pPr>
        <w:pStyle w:val="Compact"/>
        <w:numPr>
          <w:ilvl w:val="0"/>
          <w:numId w:val="1050"/>
        </w:numPr>
      </w:pPr>
      <w:r>
        <w:t xml:space="preserve">The one Son is truly divine and truly human.</w:t>
      </w:r>
    </w:p>
    <w:p>
      <w:pPr>
        <w:pStyle w:val="Compact"/>
        <w:numPr>
          <w:ilvl w:val="0"/>
          <w:numId w:val="1050"/>
        </w:numPr>
      </w:pPr>
      <w:r>
        <w:t xml:space="preserve">The union preserves the proper characteristics of each nature.</w:t>
      </w:r>
    </w:p>
    <w:p>
      <w:pPr>
        <w:pStyle w:val="FirstParagraph"/>
      </w:pPr>
      <w:r>
        <w:t xml:space="preserve">Why accept the passage?</w:t>
      </w:r>
    </w:p>
    <w:p>
      <w:pPr>
        <w:pStyle w:val="BodyText"/>
      </w:pPr>
      <w:r>
        <w:t xml:space="preserve">Replacing human intellect or will with divine activity would remove a constitutive human capacity. A blended nature would likewise cease to be wholly divine and wholly human. Integral union must preserve the two natural orders while locating their acts in one personal subject.</w:t>
      </w:r>
    </w:p>
    <w:p>
      <w:pPr>
        <w:pStyle w:val="BodyText"/>
      </w:pPr>
      <w:r>
        <w:t xml:space="preserve">What follows?</w:t>
      </w:r>
    </w:p>
    <w:p>
      <w:pPr>
        <w:pStyle w:val="BodyText"/>
      </w:pPr>
      <w:r>
        <w:t xml:space="preserve">Personal unity requires neither a mixed nature nor the suppression of human powers.</w:t>
      </w:r>
    </w:p>
    <w:p>
      <w:pPr>
        <w:pStyle w:val="BodyText"/>
      </w:pPr>
      <w:r>
        <w:t xml:space="preserve">Remaining burden: The preserved integrity is a doctrinal requirement, not a natural demonstration that the hypostatic union is actual. A rival denying the full humanity contests the premise itself.</w:t>
      </w:r>
    </w:p>
    <w:bookmarkEnd w:id="285"/>
    <w:bookmarkEnd w:id="286"/>
    <w:bookmarkStart w:id="288" w:name="X706be1ef419ba47a790abb3bd41dd2a7d00f3b9"/>
    <w:p>
      <w:pPr>
        <w:pStyle w:val="Heading2"/>
      </w:pPr>
      <w:r>
        <w:t xml:space="preserve">Human obedience is an action, not a performance</w:t>
      </w:r>
    </w:p>
    <w:p>
      <w:pPr>
        <w:pStyle w:val="FirstParagraph"/>
      </w:pPr>
      <w:r>
        <w:t xml:space="preserve">Status: Doctrinally received; philosophical account of agency.</w:t>
      </w:r>
    </w:p>
    <w:p>
      <w:pPr>
        <w:pStyle w:val="BodyText"/>
      </w:pPr>
      <w:r>
        <w:t xml:space="preserve">Constantinople III’s confession of two natural wills and operations, summarized in CCC 475, protects the reality of Christ’s human action. The Son wills divinely with the Father and Spirit and wills humanly through his assumed humanity. These are not two competing personal agents. They are distinct natural principles of action belonging to the one Son. His human consent is therefore neither an illusion nor the passive transmission of an alien command.</w:t>
      </w:r>
    </w:p>
    <w:p>
      <w:pPr>
        <w:pStyle w:val="BodyText"/>
      </w:pPr>
      <w:r>
        <w:t xml:space="preserve">Gethsemane provides the concrete test. Christ’s human aversion to death manifests a good natural inclination toward life; his filial consent is a genuine human act of obedience. Freedom cannot here be defined as an actual rebellion against divine goodness or a guaranteed possibility of sin. Rational, loving self-giving can be free precisely in its uncoerced fidelity. This does not settle every contemporary theory of alternative possibilities. It shows why identifying perfect human agency with opposition to God would exclude the very case Catholic theology regards as its fulfillment.</w:t>
      </w:r>
    </w:p>
    <w:bookmarkStart w:id="287" w:name="concord-without-replacement"/>
    <w:p>
      <w:pPr>
        <w:pStyle w:val="Heading3"/>
      </w:pPr>
      <w:r>
        <w:t xml:space="preserve">Concord without replacement</w:t>
      </w:r>
    </w:p>
    <w:p>
      <w:pPr>
        <w:pStyle w:val="FirstParagraph"/>
      </w:pPr>
      <w:r>
        <w:t xml:space="preserve">A theological case testing the concept of freedom</w:t>
      </w:r>
    </w:p>
    <w:p>
      <w:pPr>
        <w:pStyle w:val="BodyText"/>
      </w:pPr>
      <w:r>
        <w:t xml:space="preserve">Indispensable premises:</w:t>
      </w:r>
    </w:p>
    <w:p>
      <w:pPr>
        <w:pStyle w:val="Compact"/>
        <w:numPr>
          <w:ilvl w:val="0"/>
          <w:numId w:val="1051"/>
        </w:numPr>
      </w:pPr>
      <w:r>
        <w:t xml:space="preserve">Christ possesses a genuine human will and voluntarily obeys the Father.</w:t>
      </w:r>
    </w:p>
    <w:p>
      <w:pPr>
        <w:pStyle w:val="Compact"/>
        <w:numPr>
          <w:ilvl w:val="0"/>
          <w:numId w:val="1051"/>
        </w:numPr>
      </w:pPr>
      <w:r>
        <w:t xml:space="preserve">The human act proceeds through that will rather than bypassing it.</w:t>
      </w:r>
    </w:p>
    <w:p>
      <w:pPr>
        <w:pStyle w:val="FirstParagraph"/>
      </w:pPr>
      <w:r>
        <w:t xml:space="preserve">Why accept the passage?</w:t>
      </w:r>
    </w:p>
    <w:p>
      <w:pPr>
        <w:pStyle w:val="BodyText"/>
      </w:pPr>
      <w:r>
        <w:t xml:space="preserve">The absence of conflict does not entail absence of agency: a person’s rationally endorsed act can be most fully theirs when love and action agree. The puppet rival fails because it removes the human exercise that the first premise expressly affirms.</w:t>
      </w:r>
    </w:p>
    <w:p>
      <w:pPr>
        <w:pStyle w:val="BodyText"/>
      </w:pPr>
      <w:r>
        <w:t xml:space="preserve">What follows?</w:t>
      </w:r>
    </w:p>
    <w:p>
      <w:pPr>
        <w:pStyle w:val="BodyText"/>
      </w:pPr>
      <w:r>
        <w:t xml:space="preserve">Perfect conformity to divine goodness is compatible with genuine human willing.</w:t>
      </w:r>
    </w:p>
    <w:p>
      <w:pPr>
        <w:pStyle w:val="BodyText"/>
      </w:pPr>
      <w:r>
        <w:t xml:space="preserve">Remaining burden: A full account of Christ’s impeccability and freedom requires further modal argument; concord alone does not prove how every graced human choice is caused.</w:t>
      </w:r>
    </w:p>
    <w:bookmarkEnd w:id="287"/>
    <w:bookmarkEnd w:id="288"/>
    <w:bookmarkStart w:id="289" w:name="X6ac1b5909c0c6abb2dfef64fe3957fede602d38"/>
    <w:p>
      <w:pPr>
        <w:pStyle w:val="Heading2"/>
      </w:pPr>
      <w:r>
        <w:t xml:space="preserve">Who suffers, and according to which nature?</w:t>
      </w:r>
    </w:p>
    <w:p>
      <w:pPr>
        <w:pStyle w:val="FirstParagraph"/>
      </w:pPr>
      <w:r>
        <w:t xml:space="preserve">Status: Doctrinally received; disciplined predication.</w:t>
      </w:r>
    </w:p>
    <w:p>
      <w:pPr>
        <w:pStyle w:val="BodyText"/>
      </w:pPr>
      <w:r>
        <w:t xml:space="preserve">The Son truly hungers, learns through human experience, suffers, and dies according to his humanity. These are not misleading descriptions of someone else. The subject is divine, while the mode and capacity in which the suffering occurs are human. It is therefore true that God the Son suffered in the flesh; it does not follow that the divine nature becomes passible, bodily, or mortal. Predicating an experience of a Person and assigning it to every nature of that Person are different acts of judgment.</w:t>
      </w:r>
    </w:p>
    <w:p>
      <w:pPr>
        <w:pStyle w:val="BodyText"/>
      </w:pPr>
      <w:r>
        <w:t xml:space="preserve">The same discipline applies to knowledge. CCC 472–474 affirms genuinely human knowledge exercised under historical conditions together with Christ’s unique filial knowledge and saving mission. One should neither make human learning fictitious nor transfer divine omniscience without qualification into every psychological operation. How these modes of knowledge are coordinated remains a demanding theological question. The boundary is clearer than a complete psychology: one knowing Person possesses both genuinely divine and genuinely human cognitive life, without the latter becoming unlimited by nature.</w:t>
      </w:r>
    </w:p>
    <w:bookmarkEnd w:id="289"/>
    <w:bookmarkStart w:id="290" w:name="Xff36517ba1e2e4ef3f1583e64f44c0d2122c212"/>
    <w:p>
      <w:pPr>
        <w:pStyle w:val="Heading2"/>
      </w:pPr>
      <w:r>
        <w:t xml:space="preserve">Mary: Mother of God and a freely responding creature</w:t>
      </w:r>
    </w:p>
    <w:p>
      <w:pPr>
        <w:pStyle w:val="FirstParagraph"/>
      </w:pPr>
      <w:r>
        <w:t xml:space="preserve">Status: Doctrinally received; Christological explanation of Mariology.</w:t>
      </w:r>
    </w:p>
    <w:p>
      <w:pPr>
        <w:pStyle w:val="BodyText"/>
      </w:pPr>
      <w:r>
        <w:t xml:space="preserve">Mary is Mother of God because the child she conceives and bears according to his humanity is the eternal Son. Motherhood concerns the person born; it does not require originating every aspect of that person’s nature. The title therefore identifies Jesus rather than making Mary a source of the divine nature. Ephesus’s teaching, reproduced in CCC 466 and explained in CCC 495, protects the personal unity of Christ. To call her merely the mother of a separate human subject would undo that unity.</w:t>
      </w:r>
    </w:p>
    <w:p>
      <w:pPr>
        <w:pStyle w:val="BodyText"/>
      </w:pPr>
      <w:r>
        <w:t xml:space="preserve">Her assent is also real created agency. Grace prepares and enables her response without converting it into divine speech through an inert instrument (CCC 488–494). Her immaculate conception is a singular grace of redemption through Christ, not independence from him. Marian contemplation begins here: the recipient becomes genuinely active in receiving the gift. The Rosary develops this pattern through attention to Christ’s mysteries with Mary. Her intercession serves the Son’s unique mediation; she does not become a second incarnate mediator or an additional divine Person.</w:t>
      </w:r>
    </w:p>
    <w:bookmarkEnd w:id="290"/>
    <w:bookmarkStart w:id="291" w:name="the-crucified-one-is-the-risen-one"/>
    <w:p>
      <w:pPr>
        <w:pStyle w:val="Heading2"/>
      </w:pPr>
      <w:r>
        <w:t xml:space="preserve">The crucified one is the risen one</w:t>
      </w:r>
    </w:p>
    <w:p>
      <w:pPr>
        <w:pStyle w:val="FirstParagraph"/>
      </w:pPr>
      <w:r>
        <w:t xml:space="preserve">Status: Historical and revealed claims; theological interpretation.</w:t>
      </w:r>
    </w:p>
    <w:p>
      <w:pPr>
        <w:pStyle w:val="BodyText"/>
      </w:pPr>
      <w:r>
        <w:t xml:space="preserve">The cross is a real death, not an appearance staged by an invulnerable actor. Christ’s human soul and body are separated in death while remaining united to the divine Son (CCC 626). The resurrection is the transformation of this embodied humanity, not its replacement by another individual or the abandonment of humanity after a temporary mission. Personal identity connects birth, human obedience, death, resurrection, and the continuing life of the risen Lord.</w:t>
      </w:r>
    </w:p>
    <w:p>
      <w:pPr>
        <w:pStyle w:val="BodyText"/>
      </w:pPr>
      <w:r>
        <w:t xml:space="preserve">These claims require historical testimony and theological warrant. A metaphysical proof that resurrection is not contradictory would not establish the empty tomb or apostolic encounters. Nor does an unexplained event by itself establish its saving meaning. The Christian claim joins event, divine action, and interpretation within Christ’s whole mission. Dei Verbum 4 locates revelation’s completion especially in his death, resurrection, and sending of the Spirit; CCC 639–655 distinguishes historical attestation, transcendent action, and saving significance.</w:t>
      </w:r>
    </w:p>
    <w:bookmarkEnd w:id="291"/>
    <w:bookmarkStart w:id="292" w:name="Xf4b9fce2286154bb032dd5f746fd82ceb8f3033"/>
    <w:p>
      <w:pPr>
        <w:pStyle w:val="Heading2"/>
      </w:pPr>
      <w:r>
        <w:t xml:space="preserve">Why deification does not make every saint an Incarnation</w:t>
      </w:r>
    </w:p>
    <w:p>
      <w:pPr>
        <w:pStyle w:val="FirstParagraph"/>
      </w:pPr>
      <w:r>
        <w:t xml:space="preserve">Status: Doctrinally received; distinction of modes of union.</w:t>
      </w:r>
    </w:p>
    <w:p>
      <w:pPr>
        <w:pStyle w:val="BodyText"/>
      </w:pPr>
      <w:r>
        <w:t xml:space="preserve">Ordinary participation means a creature really possesses received actuality. Sanctifying grace adds a gratuitous share in divine life and filial communion. The hypostatic union is different: the human nature of Christ belongs personally to the eternal Son. Increasing the holiness of a created person does not turn that person into the Word. The difference is not a quantity of intimacy on one continuous scale but the identity of the subsisting subject.</w:t>
      </w:r>
    </w:p>
    <w:p>
      <w:pPr>
        <w:pStyle w:val="BodyText"/>
      </w:pPr>
      <w:r>
        <w:t xml:space="preserve">Precisely this distinction makes Christ’s saving humanity fruitful for others. He communicates adopted sonship without eliminating the recipients’ created identity. The Catechism’s patristic language of becoming partakers of divine nature (CCC 460) is ordered to real transformation and communion, not numerical identity with the divine essence. The faithful become more fully living human persons through grace; they do not acquire another case of the hypostatic union. Christ’s unique union and our received communion illuminate one another without becoming the same relation.</w:t>
      </w:r>
    </w:p>
    <w:bookmarkEnd w:id="292"/>
    <w:bookmarkStart w:id="293" w:name="the-rosary-keeps-contemplation-concrete"/>
    <w:p>
      <w:pPr>
        <w:pStyle w:val="Heading2"/>
      </w:pPr>
      <w:r>
        <w:t xml:space="preserve">The Rosary keeps contemplation concrete</w:t>
      </w:r>
    </w:p>
    <w:p>
      <w:pPr>
        <w:pStyle w:val="FirstParagraph"/>
      </w:pPr>
      <w:r>
        <w:t xml:space="preserve">Status: Theological and practical application.</w:t>
      </w:r>
    </w:p>
    <w:p>
      <w:pPr>
        <w:pStyle w:val="BodyText"/>
      </w:pPr>
      <w:r>
        <w:t xml:space="preserve">The mysteries of the Rosary return contemplation to a particular human life: annunciation, birth, public mission, suffering, resurrection, and glory. Words, bodily repetition, memory, and imagination can serve sustained attention to Christ. They are not substitutes for his identity or devices that manufacture revelation. Mary accompanies this attention as mother and disciple, directing the believer toward the Son rather than standing between the believer and a distant God.</w:t>
      </w:r>
    </w:p>
    <w:p>
      <w:pPr>
        <w:pStyle w:val="BodyText"/>
      </w:pPr>
      <w:r>
        <w:t xml:space="preserve">The Incarnation makes embodied mediation especially significant without canonizing every impression as divine testimony. An image can refer to the incarnate Son because his humanity is real; an imagined scene remains a fallible aid to prayer. The distinction preserves both tenderness and truth. The practical Rosary companion on the prayer page belongs within this Christ-centered discipline, alongside Scripture, liturgy, ethical conversion, and care for the neighbor whose human life Christ has honored by sharing our nature.</w:t>
      </w:r>
    </w:p>
    <w:bookmarkEnd w:id="293"/>
    <w:bookmarkStart w:id="300" w:name="core-questions-and-answers-4"/>
    <w:p>
      <w:pPr>
        <w:pStyle w:val="Heading2"/>
      </w:pPr>
      <w:r>
        <w:t xml:space="preserve">Core questions and answers</w:t>
      </w:r>
    </w:p>
    <w:bookmarkStart w:id="294" w:name="Xcbef74bee7218a6e3b0b39f80d7ba49ccee1bef"/>
    <w:p>
      <w:pPr>
        <w:pStyle w:val="Heading3"/>
      </w:pPr>
      <w:r>
        <w:t xml:space="preserve">If Jesus is God, how can he hunger, learn, suffer, or die?</w:t>
      </w:r>
    </w:p>
    <w:p>
      <w:pPr>
        <w:pStyle w:val="FirstParagraph"/>
      </w:pPr>
      <w:r>
        <w:t xml:space="preserve">The one who has these human experiences is God the Son, and he has them through his true humanity. His divine nature does not become hungry or mortal. The personal subject and the nature according to which an experience occurs answer different questions. This allows the confession that the Son truly suffered in the flesh without turning divine deity into a vulnerable organism.</w:t>
      </w:r>
    </w:p>
    <w:p>
      <w:pPr>
        <w:pStyle w:val="BodyText"/>
      </w:pPr>
      <w:r>
        <w:t xml:space="preserve">The distinction must preserve the reality of the experience. Saying</w:t>
      </w:r>
      <w:r>
        <w:t xml:space="preserve"> </w:t>
      </w:r>
      <w:r>
        <w:t xml:space="preserve">‘</w:t>
      </w:r>
      <w:r>
        <w:t xml:space="preserve">according to the humanity</w:t>
      </w:r>
      <w:r>
        <w:t xml:space="preserve">’</w:t>
      </w:r>
      <w:r>
        <w:t xml:space="preserve"> </w:t>
      </w:r>
      <w:r>
        <w:t xml:space="preserve">cannot mean that someone other than the Son suffers, or that suffering is a surface appearance. Christ’s created intellect, will, body, and soul genuinely belong to him; the same Son lives and acts through them.</w:t>
      </w:r>
    </w:p>
    <w:bookmarkEnd w:id="294"/>
    <w:bookmarkStart w:id="295" w:name="X4e21d0ba6f626a4e1ed5b9c2fcb6a2da835e768"/>
    <w:p>
      <w:pPr>
        <w:pStyle w:val="Heading3"/>
      </w:pPr>
      <w:r>
        <w:t xml:space="preserve">Personal attribution with a specified natural mode</w:t>
      </w:r>
    </w:p>
    <w:p>
      <w:pPr>
        <w:pStyle w:val="FirstParagraph"/>
      </w:pPr>
      <w:r>
        <w:t xml:space="preserve">Christological predication under the doctrine of two natures</w:t>
      </w:r>
    </w:p>
    <w:p>
      <w:pPr>
        <w:pStyle w:val="BodyText"/>
      </w:pPr>
      <w:r>
        <w:t xml:space="preserve">Indispensable premises:</w:t>
      </w:r>
    </w:p>
    <w:p>
      <w:pPr>
        <w:pStyle w:val="Compact"/>
        <w:numPr>
          <w:ilvl w:val="0"/>
          <w:numId w:val="1052"/>
        </w:numPr>
      </w:pPr>
      <w:r>
        <w:t xml:space="preserve">The one Son possesses a complete human nature as his own.</w:t>
      </w:r>
    </w:p>
    <w:p>
      <w:pPr>
        <w:pStyle w:val="Compact"/>
        <w:numPr>
          <w:ilvl w:val="0"/>
          <w:numId w:val="1052"/>
        </w:numPr>
      </w:pPr>
      <w:r>
        <w:t xml:space="preserve">A personal act or experience need not occur through every nature possessed by its subject.</w:t>
      </w:r>
    </w:p>
    <w:p>
      <w:pPr>
        <w:pStyle w:val="FirstParagraph"/>
      </w:pPr>
      <w:r>
        <w:t xml:space="preserve">Why accept the passage?</w:t>
      </w:r>
    </w:p>
    <w:p>
      <w:pPr>
        <w:pStyle w:val="BodyText"/>
      </w:pPr>
      <w:r>
        <w:t xml:space="preserve">Suffering is attributed to the acting Person through the capacities in which it occurs. Transferring it to deity would confuse natures; assigning it to another personal subject would divide the Son. The specified natural mode excludes both errors.</w:t>
      </w:r>
    </w:p>
    <w:p>
      <w:pPr>
        <w:pStyle w:val="BodyText"/>
      </w:pPr>
      <w:r>
        <w:t xml:space="preserve">What follows?</w:t>
      </w:r>
    </w:p>
    <w:p>
      <w:pPr>
        <w:pStyle w:val="BodyText"/>
      </w:pPr>
      <w:r>
        <w:t xml:space="preserve">The Son’s real human suffering is compatible with the impassibility of his divine nature.</w:t>
      </w:r>
    </w:p>
    <w:p>
      <w:pPr>
        <w:pStyle w:val="BodyText"/>
      </w:pPr>
      <w:r>
        <w:t xml:space="preserve">Remaining burden: This grammar does not provide a complete psychology of Christ or settle every debate about divine impassibility outside the doctrinal account used here.</w:t>
      </w:r>
    </w:p>
    <w:p>
      <w:pPr>
        <w:pStyle w:val="BodyText"/>
      </w:pPr>
      <w:hyperlink r:id="rId193">
        <w:r>
          <w:rPr>
            <w:rStyle w:val="Hyperlink"/>
          </w:rPr>
          <w:t xml:space="preserve">Real differences and their realization</w:t>
        </w:r>
      </w:hyperlink>
    </w:p>
    <w:bookmarkEnd w:id="295"/>
    <w:bookmarkStart w:id="296" w:name="X92e24e2372a7be3c9ede91732acd165e7c04d27"/>
    <w:p>
      <w:pPr>
        <w:pStyle w:val="Heading3"/>
      </w:pPr>
      <w:r>
        <w:t xml:space="preserve">Is Christ fully human if there is no additional human person alongside the Son?</w:t>
      </w:r>
    </w:p>
    <w:p>
      <w:pPr>
        <w:pStyle w:val="FirstParagraph"/>
      </w:pPr>
      <w:r>
        <w:t xml:space="preserve">Yes, in the Catholic confession: the complete humanity includes a rational soul, body, intellect, will, and genuinely human operations. Its subsisting personal subject is the eternal Son. Completeness of human nature does not require a second independently subsisting person in addition to the one who has made that humanity his own.</w:t>
      </w:r>
    </w:p>
    <w:p>
      <w:pPr>
        <w:pStyle w:val="BodyText"/>
      </w:pPr>
      <w:r>
        <w:t xml:space="preserve">This is a special theological claim, not a general permission to disregard human personhood. Christ’s human willing and obedience must remain real. A theory that uses the divine Person to remove human intellectual or voluntary activity would preserve the word humanity while sacrificing its content. The union preserves these powers and their exercise rather than replacing them.</w:t>
      </w:r>
    </w:p>
    <w:bookmarkEnd w:id="296"/>
    <w:bookmarkStart w:id="297" w:name="X86fdc7003218ed2ce39a671de0659ca2dee408b"/>
    <w:p>
      <w:pPr>
        <w:pStyle w:val="Heading3"/>
      </w:pPr>
      <w:r>
        <w:t xml:space="preserve">Complete humanity without a second personal subject</w:t>
      </w:r>
    </w:p>
    <w:p>
      <w:pPr>
        <w:pStyle w:val="FirstParagraph"/>
      </w:pPr>
      <w:r>
        <w:t xml:space="preserve">Doctrinally supplied unique mode of subsistence</w:t>
      </w:r>
    </w:p>
    <w:p>
      <w:pPr>
        <w:pStyle w:val="BodyText"/>
      </w:pPr>
      <w:r>
        <w:t xml:space="preserve">Indispensable premises:</w:t>
      </w:r>
    </w:p>
    <w:p>
      <w:pPr>
        <w:pStyle w:val="Compact"/>
        <w:numPr>
          <w:ilvl w:val="0"/>
          <w:numId w:val="1053"/>
        </w:numPr>
      </w:pPr>
      <w:r>
        <w:t xml:space="preserve">The Son personally assumes complete human nature.</w:t>
      </w:r>
    </w:p>
    <w:p>
      <w:pPr>
        <w:pStyle w:val="Compact"/>
        <w:numPr>
          <w:ilvl w:val="0"/>
          <w:numId w:val="1053"/>
        </w:numPr>
      </w:pPr>
      <w:r>
        <w:t xml:space="preserve">That nature retains its human capacities and operations.</w:t>
      </w:r>
    </w:p>
    <w:p>
      <w:pPr>
        <w:pStyle w:val="FirstParagraph"/>
      </w:pPr>
      <w:r>
        <w:t xml:space="preserve">Why accept the passage?</w:t>
      </w:r>
    </w:p>
    <w:p>
      <w:pPr>
        <w:pStyle w:val="BodyText"/>
      </w:pPr>
      <w:r>
        <w:t xml:space="preserve">A second subject is unnecessary to account for capacities already exercised by the one Son through his humanity. The rival requiring two personal agents adds a further subject rather than identifying a missing human capacity.</w:t>
      </w:r>
    </w:p>
    <w:p>
      <w:pPr>
        <w:pStyle w:val="BodyText"/>
      </w:pPr>
      <w:r>
        <w:t xml:space="preserve">What follows?</w:t>
      </w:r>
    </w:p>
    <w:p>
      <w:pPr>
        <w:pStyle w:val="BodyText"/>
      </w:pPr>
      <w:r>
        <w:t xml:space="preserve">One divine Person can be the subject of a complete genuinely human life within the received doctrine.</w:t>
      </w:r>
    </w:p>
    <w:p>
      <w:pPr>
        <w:pStyle w:val="BodyText"/>
      </w:pPr>
      <w:r>
        <w:t xml:space="preserve">Remaining burden: The hypostatic union is not derived from ordinary cases of human subsistence; a fully developed metaphysics of its unique mode remains a further task.</w:t>
      </w:r>
    </w:p>
    <w:p>
      <w:pPr>
        <w:pStyle w:val="BodyText"/>
      </w:pPr>
      <w:hyperlink r:id="rId181">
        <w:r>
          <w:rPr>
            <w:rStyle w:val="Hyperlink"/>
          </w:rPr>
          <w:t xml:space="preserve">Embodied personhood and supported agency</w:t>
        </w:r>
      </w:hyperlink>
    </w:p>
    <w:bookmarkEnd w:id="297"/>
    <w:bookmarkStart w:id="298" w:name="Xebeec53f501141afdaf74784b97db6931db7854"/>
    <w:p>
      <w:pPr>
        <w:pStyle w:val="Heading3"/>
      </w:pPr>
      <w:r>
        <w:t xml:space="preserve">Does calling Mary Mother of God make her the origin of God or a rival to Christ?</w:t>
      </w:r>
    </w:p>
    <w:p>
      <w:pPr>
        <w:pStyle w:val="FirstParagraph"/>
      </w:pPr>
      <w:r>
        <w:t xml:space="preserve">No. She is the mother of the Person who is God the Son, according to his human birth. She does not originate the divine nature or precede the eternal Son’s divinity. The title safeguards the identity of her child: the one born of Mary is personally the same eternal Word, not a separate human person associated with him.</w:t>
      </w:r>
    </w:p>
    <w:p>
      <w:pPr>
        <w:pStyle w:val="BodyText"/>
      </w:pPr>
      <w:r>
        <w:t xml:space="preserve">Her graced assent and intercession remain creaturely and dependent upon Christ. Honoring her recognizes what God has done in her and her real personal response. The Rosary is therefore ordered to contemplating Christ with Mary. Petition to her requests her prayer; it does not assign her an independent saving power or the adoration due to God.</w:t>
      </w:r>
    </w:p>
    <w:bookmarkEnd w:id="298"/>
    <w:bookmarkStart w:id="299" w:name="motherhood-of-the-incarnate-person"/>
    <w:p>
      <w:pPr>
        <w:pStyle w:val="Heading3"/>
      </w:pPr>
      <w:r>
        <w:t xml:space="preserve">Motherhood of the incarnate Person</w:t>
      </w:r>
    </w:p>
    <w:p>
      <w:pPr>
        <w:pStyle w:val="FirstParagraph"/>
      </w:pPr>
      <w:r>
        <w:t xml:space="preserve">Christological argument for the title Theotokos</w:t>
      </w:r>
    </w:p>
    <w:p>
      <w:pPr>
        <w:pStyle w:val="BodyText"/>
      </w:pPr>
      <w:r>
        <w:t xml:space="preserve">Indispensable premises:</w:t>
      </w:r>
    </w:p>
    <w:p>
      <w:pPr>
        <w:pStyle w:val="Compact"/>
        <w:numPr>
          <w:ilvl w:val="0"/>
          <w:numId w:val="1054"/>
        </w:numPr>
      </w:pPr>
      <w:r>
        <w:t xml:space="preserve">Mary truly bears Jesus according to his humanity.</w:t>
      </w:r>
    </w:p>
    <w:p>
      <w:pPr>
        <w:pStyle w:val="Compact"/>
        <w:numPr>
          <w:ilvl w:val="0"/>
          <w:numId w:val="1054"/>
        </w:numPr>
      </w:pPr>
      <w:r>
        <w:t xml:space="preserve">Jesus is the one eternal divine Son, not a second human personal subject.</w:t>
      </w:r>
    </w:p>
    <w:p>
      <w:pPr>
        <w:pStyle w:val="FirstParagraph"/>
      </w:pPr>
      <w:r>
        <w:t xml:space="preserve">Why accept the passage?</w:t>
      </w:r>
    </w:p>
    <w:p>
      <w:pPr>
        <w:pStyle w:val="BodyText"/>
      </w:pPr>
      <w:r>
        <w:t xml:space="preserve">Motherhood identifies the person born without making the mother the origin of every dimension of that person’s nature. A rival title denying that the one born is God would divide the subject the second premise identifies.</w:t>
      </w:r>
    </w:p>
    <w:p>
      <w:pPr>
        <w:pStyle w:val="BodyText"/>
      </w:pPr>
      <w:r>
        <w:t xml:space="preserve">What follows?</w:t>
      </w:r>
    </w:p>
    <w:p>
      <w:pPr>
        <w:pStyle w:val="BodyText"/>
      </w:pPr>
      <w:r>
        <w:t xml:space="preserve">Mary is truly Mother of God without being a source of deity.</w:t>
      </w:r>
    </w:p>
    <w:p>
      <w:pPr>
        <w:pStyle w:val="BodyText"/>
      </w:pPr>
      <w:r>
        <w:t xml:space="preserve">Remaining burden: The title alone does not establish every later Marian teaching or authenticate a particular apparition or miracle report.</w:t>
      </w:r>
    </w:p>
    <w:p>
      <w:pPr>
        <w:pStyle w:val="BodyText"/>
      </w:pPr>
      <w:hyperlink r:id="rId271">
        <w:r>
          <w:rPr>
            <w:rStyle w:val="Hyperlink"/>
          </w:rPr>
          <w:t xml:space="preserve">The Rosary and Mary’s intercession</w:t>
        </w:r>
      </w:hyperlink>
      <w:r>
        <w:t xml:space="preserve"> </w:t>
      </w:r>
      <w:r>
        <w:t xml:space="preserve">·</w:t>
      </w:r>
      <w:r>
        <w:t xml:space="preserve"> </w:t>
      </w:r>
      <w:hyperlink r:id="rId190">
        <w:r>
          <w:rPr>
            <w:rStyle w:val="Hyperlink"/>
          </w:rPr>
          <w:t xml:space="preserve">Miracles, evidence, and divine testimony</w:t>
        </w:r>
      </w:hyperlink>
    </w:p>
    <w:bookmarkEnd w:id="299"/>
    <w:bookmarkEnd w:id="300"/>
    <w:bookmarkStart w:id="306" w:name="sources-and-precise-use-4"/>
    <w:p>
      <w:pPr>
        <w:pStyle w:val="Heading2"/>
      </w:pPr>
      <w:r>
        <w:t xml:space="preserve">Sources and precise use</w:t>
      </w:r>
    </w:p>
    <w:bookmarkStart w:id="301" w:name="Xf3cb485fc5d873050d9dddd23ff2ad7ef9ca7da"/>
    <w:p>
      <w:pPr>
        <w:pStyle w:val="Heading3"/>
      </w:pPr>
      <w:r>
        <w:t xml:space="preserve">Catholic Church: Catechism of the Catholic Church, second edition</w:t>
      </w:r>
    </w:p>
    <w:p>
      <w:pPr>
        <w:pStyle w:val="FirstParagraph"/>
      </w:pPr>
      <w:r>
        <w:t xml:space="preserve">Locus: CCC 456–483, especially 466–475; 488–495; 626; 639–655.</w:t>
      </w:r>
    </w:p>
    <w:p>
      <w:pPr>
        <w:pStyle w:val="BodyText"/>
      </w:pPr>
      <w:r>
        <w:t xml:space="preserve">Status: Supplied primary text: selected Christological, Marian, and Paschal passages consulted.</w:t>
      </w:r>
    </w:p>
    <w:p>
      <w:pPr>
        <w:pStyle w:val="BodyText"/>
      </w:pPr>
      <w:r>
        <w:t xml:space="preserve">Contribution: One divine Person, two complete natures, two wills and operations, Mary’s divine motherhood, real death, and the resurrection’s historical and theological dimensions.</w:t>
      </w:r>
    </w:p>
    <w:p>
      <w:pPr>
        <w:pStyle w:val="BodyText"/>
      </w:pPr>
      <w:r>
        <w:t xml:space="preserve">Limit: The supplied Word text was inspected; some paragraph numbers were lost in its list formatting. Standard CCC loci identify the passages. The Catechism summarizes doctrinal judgments rather than replacing historical investigation.</w:t>
      </w:r>
    </w:p>
    <w:p>
      <w:pPr>
        <w:pStyle w:val="BodyText"/>
      </w:pPr>
      <w:r>
        <w:t xml:space="preserve">Source/provenance: https://www.vatican.va/archive/ENG0015/__P1J.HTM</w:t>
      </w:r>
    </w:p>
    <w:bookmarkEnd w:id="301"/>
    <w:bookmarkStart w:id="302" w:name="X85d112dd5dfa6e63c65a7342063d13a0673467a"/>
    <w:p>
      <w:pPr>
        <w:pStyle w:val="Heading3"/>
      </w:pPr>
      <w:r>
        <w:t xml:space="preserve">Councils of Ephesus, Chalcedon, and Constantinople III: Christological definitions as reproduced in the Catechism</w:t>
      </w:r>
    </w:p>
    <w:p>
      <w:pPr>
        <w:pStyle w:val="FirstParagraph"/>
      </w:pPr>
      <w:r>
        <w:t xml:space="preserve">Locus: Ephesus through CCC 466; Chalcedon through CCC 467; Constantinople III through CCC 475.</w:t>
      </w:r>
    </w:p>
    <w:p>
      <w:pPr>
        <w:pStyle w:val="BodyText"/>
      </w:pPr>
      <w:r>
        <w:t xml:space="preserve">Status: Conciliar excerpts consulted within the supplied Catechism.</w:t>
      </w:r>
    </w:p>
    <w:p>
      <w:pPr>
        <w:pStyle w:val="BodyText"/>
      </w:pPr>
      <w:r>
        <w:t xml:space="preserve">Contribution: Theotokos, personal unity with preserved natures, and genuine human willing and operations.</w:t>
      </w:r>
    </w:p>
    <w:p>
      <w:pPr>
        <w:pStyle w:val="BodyText"/>
      </w:pPr>
      <w:r>
        <w:t xml:space="preserve">Limit: The English conciliar excerpts were consulted in the Catechism. Independent critical editions and the full council proceedings were not newly inspected.</w:t>
      </w:r>
    </w:p>
    <w:p>
      <w:pPr>
        <w:pStyle w:val="BodyText"/>
      </w:pPr>
      <w:r>
        <w:t xml:space="preserve">Source/provenance: https://www.vatican.va/archive/ENG0015/__P1J.HTM</w:t>
      </w:r>
    </w:p>
    <w:bookmarkEnd w:id="302"/>
    <w:bookmarkStart w:id="303" w:name="second-vatican-council-dei-verbum-2"/>
    <w:p>
      <w:pPr>
        <w:pStyle w:val="Heading3"/>
      </w:pPr>
      <w:r>
        <w:t xml:space="preserve">Second Vatican Council: Dei Verbum</w:t>
      </w:r>
    </w:p>
    <w:p>
      <w:pPr>
        <w:pStyle w:val="FirstParagraph"/>
      </w:pPr>
      <w:r>
        <w:t xml:space="preserve">Locus: Sections 2 and 4–5.</w:t>
      </w:r>
    </w:p>
    <w:p>
      <w:pPr>
        <w:pStyle w:val="BodyText"/>
      </w:pPr>
      <w:r>
        <w:t xml:space="preserve">Status: Supplied primary text: selected passages consulted.</w:t>
      </w:r>
    </w:p>
    <w:p>
      <w:pPr>
        <w:pStyle w:val="BodyText"/>
      </w:pPr>
      <w:r>
        <w:t xml:space="preserve">Contribution: Christ as mediator and fullness of revelation, the unity of words and deeds, Paschal completion, and grace-enabled faith.</w:t>
      </w:r>
    </w:p>
    <w:p>
      <w:pPr>
        <w:pStyle w:val="BodyText"/>
      </w:pPr>
      <w:r>
        <w:t xml:space="preserve">Limit: This theological account does not substitute for evaluation of particular historical witnesses or miracle claims.</w:t>
      </w:r>
    </w:p>
    <w:p>
      <w:pPr>
        <w:pStyle w:val="BodyText"/>
      </w:pPr>
      <w:r>
        <w:t xml:space="preserve">Source/provenance: https://www.vatican.va/archive/hist_councils/ii_vatican_council/documents/vat-ii_const_19651118_dei-verbum_en.html</w:t>
      </w:r>
    </w:p>
    <w:bookmarkEnd w:id="303"/>
    <w:bookmarkStart w:id="304" w:name="X3875914ce6bb1217e88adf9b9a2cabf4282dfa6"/>
    <w:p>
      <w:pPr>
        <w:pStyle w:val="Heading3"/>
      </w:pPr>
      <w:r>
        <w:t xml:space="preserve">Robert Dryer, supplied constructive manuscript: Being-First and Measured Manifestation: Definitive Synthetic Edition</w:t>
      </w:r>
    </w:p>
    <w:p>
      <w:pPr>
        <w:pStyle w:val="FirstParagraph"/>
      </w:pPr>
      <w:r>
        <w:t xml:space="preserve">Locus: Chapter 27, Christ: Divine Self-Manifestation in a Human Life.</w:t>
      </w:r>
    </w:p>
    <w:p>
      <w:pPr>
        <w:pStyle w:val="BodyText"/>
      </w:pPr>
      <w:r>
        <w:t xml:space="preserve">Status: Supplied constructive manuscript: selected chapter consulted.</w:t>
      </w:r>
    </w:p>
    <w:p>
      <w:pPr>
        <w:pStyle w:val="BodyText"/>
      </w:pPr>
      <w:r>
        <w:t xml:space="preserve">Contribution: Personal manifestation, disciplined attribution according to nature, integral human agency, and the distinction between hypostatic union and participation.</w:t>
      </w:r>
    </w:p>
    <w:p>
      <w:pPr>
        <w:pStyle w:val="BodyText"/>
      </w:pPr>
      <w:r>
        <w:t xml:space="preserve">Limit: The manuscript proposes a constructive articulation; it is not an additional historical authority. The linked guide situates the wider source method.</w:t>
      </w:r>
    </w:p>
    <w:p>
      <w:pPr>
        <w:pStyle w:val="BodyText"/>
      </w:pPr>
      <w:r>
        <w:t xml:space="preserve">Source/provenance: https://participation-6o4.pages.dev/research/reading-guide.md</w:t>
      </w:r>
    </w:p>
    <w:bookmarkEnd w:id="304"/>
    <w:bookmarkStart w:id="305" w:name="X714f379b274903b54787855eefda4fe20d0670e"/>
    <w:p>
      <w:pPr>
        <w:pStyle w:val="Heading3"/>
      </w:pPr>
      <w:r>
        <w:t xml:space="preserve">Catholic Church: Catechism of the Catholic Church, second edition</w:t>
      </w:r>
    </w:p>
    <w:p>
      <w:pPr>
        <w:pStyle w:val="FirstParagraph"/>
      </w:pPr>
      <w:r>
        <w:t xml:space="preserve">Locus: CCC 971, with 2673–2679 as a further reading lead.</w:t>
      </w:r>
    </w:p>
    <w:p>
      <w:pPr>
        <w:pStyle w:val="BodyText"/>
      </w:pPr>
      <w:r>
        <w:t xml:space="preserve">Status: Supplied primary text: CCC 971 consulted; prayer paragraphs identified for further reading.</w:t>
      </w:r>
    </w:p>
    <w:p>
      <w:pPr>
        <w:pStyle w:val="BodyText"/>
      </w:pPr>
      <w:r>
        <w:t xml:space="preserve">Contribution: Marian devotion differs essentially from divine adoration and serves Christ-centered worship; the Rosary is situated within the Gospel.</w:t>
      </w:r>
    </w:p>
    <w:p>
      <w:pPr>
        <w:pStyle w:val="BodyText"/>
      </w:pPr>
      <w:r>
        <w:t xml:space="preserve">Limit: The prayer paragraphs are reading leads rather than passages newly inspected for this page. The fuller Rosary dossier belongs to Grace and Prayer.</w:t>
      </w:r>
    </w:p>
    <w:p>
      <w:pPr>
        <w:pStyle w:val="BodyText"/>
      </w:pPr>
      <w:r>
        <w:t xml:space="preserve">Source/provenance: https://www.vatican.va/archive/ENG0015/_INDEX.HTM</w:t>
      </w:r>
    </w:p>
    <w:bookmarkEnd w:id="305"/>
    <w:bookmarkEnd w:id="306"/>
    <w:bookmarkStart w:id="307" w:name="where-this-argument-matters-4"/>
    <w:p>
      <w:pPr>
        <w:pStyle w:val="Heading2"/>
      </w:pPr>
      <w:r>
        <w:t xml:space="preserve">Where this argument matters</w:t>
      </w:r>
    </w:p>
    <w:p>
      <w:pPr>
        <w:pStyle w:val="Compact"/>
        <w:numPr>
          <w:ilvl w:val="0"/>
          <w:numId w:val="1055"/>
        </w:numPr>
      </w:pPr>
      <w:hyperlink r:id="rId271">
        <w:r>
          <w:rPr>
            <w:rStyle w:val="Hyperlink"/>
          </w:rPr>
          <w:t xml:space="preserve">Grace, Prayer, and Deification</w:t>
        </w:r>
      </w:hyperlink>
      <w:r>
        <w:t xml:space="preserve">: The Rosary and graced filial communion develop Christ-centered contemplation with Mary.</w:t>
      </w:r>
    </w:p>
    <w:p>
      <w:pPr>
        <w:pStyle w:val="Compact"/>
        <w:numPr>
          <w:ilvl w:val="0"/>
          <w:numId w:val="1055"/>
        </w:numPr>
      </w:pPr>
      <w:hyperlink r:id="rId224">
        <w:r>
          <w:rPr>
            <w:rStyle w:val="Hyperlink"/>
          </w:rPr>
          <w:t xml:space="preserve">Church and Sacrament</w:t>
        </w:r>
      </w:hyperlink>
      <w:r>
        <w:t xml:space="preserve">: Christ’s saving humanity and Paschal mystery inform sacramental mediation without turning every sacrament into a new Incarnation.</w:t>
      </w:r>
    </w:p>
    <w:p>
      <w:pPr>
        <w:pStyle w:val="Compact"/>
        <w:numPr>
          <w:ilvl w:val="0"/>
          <w:numId w:val="1055"/>
        </w:numPr>
      </w:pPr>
      <w:hyperlink r:id="rId214">
        <w:r>
          <w:rPr>
            <w:rStyle w:val="Hyperlink"/>
          </w:rPr>
          <w:t xml:space="preserve">Resurrection and Beatitude</w:t>
        </w:r>
      </w:hyperlink>
      <w:r>
        <w:t xml:space="preserve">: Christ’s enduring risen humanity grounds the promise of embodied fulfillment rather than escape from creaturehood.</w:t>
      </w:r>
    </w:p>
    <w:p>
      <w:r>
        <w:pict>
          <v:rect style="width:0;height:1.5pt" o:hralign="center" o:hrstd="t" o:hr="t"/>
        </w:pict>
      </w:r>
    </w:p>
    <w:bookmarkEnd w:id="307"/>
    <w:bookmarkEnd w:id="308"/>
    <w:bookmarkStart w:id="335" w:name="X664442bf2cdfb7fea0593ea292343ff524d0ab9"/>
    <w:p>
      <w:pPr>
        <w:pStyle w:val="Heading1"/>
      </w:pPr>
      <w:r>
        <w:t xml:space="preserve">9. The Human Person: Embodiment, Freedom, and Vocation</w:t>
      </w:r>
    </w:p>
    <w:p>
      <w:pPr>
        <w:pStyle w:val="FirstParagraph"/>
      </w:pPr>
      <w:r>
        <w:t xml:space="preserve">What makes an embodied, dependent human being someone whose life, freedom, and good matter for their own sake?</w:t>
      </w:r>
    </w:p>
    <w:p>
      <w:pPr>
        <w:pStyle w:val="BodyText"/>
      </w:pPr>
      <w:r>
        <w:t xml:space="preserve">A human person lives bodily, understands, desires, remembers, acts, suffers, and receives care as one subject. These activities have different explanatory requirements, but their difference does not establish several persons inhabiting one organism. The starting task is to explain this unity without reducing reason to a description of bodily motion or treating the body as equipment used by an otherwise complete self.</w:t>
      </w:r>
    </w:p>
    <w:p>
      <w:pPr>
        <w:pStyle w:val="BodyText"/>
      </w:pPr>
      <w:r>
        <w:t xml:space="preserve">Participation contributes an important distinction: what is received can genuinely belong to the recipient. It does not by itself establish human spiritual powers, moral responsibility, equal dignity, or a supernatural vocation. Those require their own arguments and, where Christian revelation enters, an explicit change of warrant. The resulting anthropology should make vulnerable lives more intelligible and more worthy of care, rather than measure their reality by independence or performance.</w:t>
      </w:r>
    </w:p>
    <w:bookmarkStart w:id="309" w:name="what-this-page-uses-5"/>
    <w:p>
      <w:pPr>
        <w:pStyle w:val="Heading2"/>
      </w:pPr>
      <w:r>
        <w:t xml:space="preserve">What this page uses</w:t>
      </w:r>
    </w:p>
    <w:p>
      <w:pPr>
        <w:pStyle w:val="Compact"/>
        <w:numPr>
          <w:ilvl w:val="0"/>
          <w:numId w:val="1056"/>
        </w:numPr>
      </w:pPr>
      <w:hyperlink r:id="rId160">
        <w:r>
          <w:rPr>
            <w:rStyle w:val="Hyperlink"/>
          </w:rPr>
          <w:t xml:space="preserve">Participation</w:t>
        </w:r>
      </w:hyperlink>
      <w:r>
        <w:t xml:space="preserve">: Real received possession explains why dependent powers need not be unreal or merely borrowed appearances.</w:t>
      </w:r>
    </w:p>
    <w:p>
      <w:pPr>
        <w:pStyle w:val="Compact"/>
        <w:numPr>
          <w:ilvl w:val="0"/>
          <w:numId w:val="1056"/>
        </w:numPr>
      </w:pPr>
      <w:hyperlink r:id="rId162">
        <w:r>
          <w:rPr>
            <w:rStyle w:val="Hyperlink"/>
          </w:rPr>
          <w:t xml:space="preserve">Divine Agency</w:t>
        </w:r>
      </w:hyperlink>
      <w:r>
        <w:t xml:space="preserve">: Secondary agency distinguishes the support of a person’s action from substitution for its author.</w:t>
      </w:r>
    </w:p>
    <w:p>
      <w:pPr>
        <w:pStyle w:val="Compact"/>
        <w:numPr>
          <w:ilvl w:val="0"/>
          <w:numId w:val="1056"/>
        </w:numPr>
      </w:pPr>
      <w:hyperlink r:id="rId193">
        <w:r>
          <w:rPr>
            <w:rStyle w:val="Hyperlink"/>
          </w:rPr>
          <w:t xml:space="preserve">Reality and Relation</w:t>
        </w:r>
      </w:hyperlink>
      <w:r>
        <w:t xml:space="preserve">: Nature, person, unity, and constitution must be distinguished before their human application.</w:t>
      </w:r>
    </w:p>
    <w:bookmarkEnd w:id="309"/>
    <w:bookmarkStart w:id="310" w:name="what-it-undertakes-to-establish-5"/>
    <w:p>
      <w:pPr>
        <w:pStyle w:val="Heading2"/>
      </w:pPr>
      <w:r>
        <w:t xml:space="preserve">What it undertakes to establish</w:t>
      </w:r>
    </w:p>
    <w:p>
      <w:pPr>
        <w:pStyle w:val="Compact"/>
        <w:numPr>
          <w:ilvl w:val="0"/>
          <w:numId w:val="1057"/>
        </w:numPr>
      </w:pPr>
      <w:r>
        <w:t xml:space="preserve">A positive account of embodied personal unity, with the Catholic soul-body teaching stated as a theological commitment rather than assumed as a neutral definition.</w:t>
      </w:r>
    </w:p>
    <w:p>
      <w:pPr>
        <w:pStyle w:val="Compact"/>
        <w:numPr>
          <w:ilvl w:val="0"/>
          <w:numId w:val="1057"/>
        </w:numPr>
      </w:pPr>
      <w:r>
        <w:t xml:space="preserve">Arguments distinguishing supported agency from displaced agency and personal dignity from current performance.</w:t>
      </w:r>
    </w:p>
    <w:p>
      <w:pPr>
        <w:pStyle w:val="Compact"/>
        <w:numPr>
          <w:ilvl w:val="0"/>
          <w:numId w:val="1057"/>
        </w:numPr>
      </w:pPr>
      <w:r>
        <w:t xml:space="preserve">A route from reasons and conscience through virtue, social responsibility, and the Christian vocation to communion.</w:t>
      </w:r>
    </w:p>
    <w:bookmarkEnd w:id="310"/>
    <w:bookmarkStart w:id="311" w:name="Xf7fbf1321a7c3c6665044837f137e485e5a05b1"/>
    <w:p>
      <w:pPr>
        <w:pStyle w:val="Heading2"/>
      </w:pPr>
      <w:r>
        <w:t xml:space="preserve">One subject lives the bodily and intellectual life</w:t>
      </w:r>
    </w:p>
    <w:p>
      <w:pPr>
        <w:pStyle w:val="FirstParagraph"/>
      </w:pPr>
      <w:r>
        <w:t xml:space="preserve">Status: Philosophical argument and doctrinally received anthropology.</w:t>
      </w:r>
    </w:p>
    <w:p>
      <w:pPr>
        <w:pStyle w:val="BodyText"/>
      </w:pPr>
      <w:r>
        <w:t xml:space="preserve">When someone recognizes a friend, reaches for a hand, remembers an injury, and decides to forgive, the subject of these acts is the living person. Their bodily conditions matter: injury, fatigue, medication, and development can alter attention and choice. Yet describing those conditions does not already explain what a judgment means, whether it is true, or why forgiving rather than retaliating is reasonable. A satisfactory account must connect these explanatory levels without erasing their differences.</w:t>
      </w:r>
    </w:p>
    <w:p>
      <w:pPr>
        <w:pStyle w:val="BodyText"/>
      </w:pPr>
      <w:r>
        <w:t xml:space="preserve">Catholic teaching describes the human being as a profound unity of body and spiritual soul, the soul being the form of the body (CCC 362–368). This means that the spiritual principle makes this body a living human body; it does not mean that a complete person pilots a disposable organism. The soul’s survival after death does not make death fulfillment: bodily separation calls for resurrection. This doctrinal grammar leaves substantial philosophical work concerning consciousness, biological organization, and spiritual subsistence. It also prevents a general theory of reception from reducing the body to an obstacle that salvation must discard.</w:t>
      </w:r>
    </w:p>
    <w:bookmarkEnd w:id="311"/>
    <w:bookmarkStart w:id="312" w:name="Xad9eeb74c1ba752cd47e3d2f961dc4133f6e3ff"/>
    <w:p>
      <w:pPr>
        <w:pStyle w:val="Heading2"/>
      </w:pPr>
      <w:r>
        <w:t xml:space="preserve">Reasons make a difference that causal description must explain</w:t>
      </w:r>
    </w:p>
    <w:p>
      <w:pPr>
        <w:pStyle w:val="FirstParagraph"/>
      </w:pPr>
      <w:r>
        <w:t xml:space="preserve">Status: Philosophical argument with an unresolved explanatory burden.</w:t>
      </w:r>
    </w:p>
    <w:p>
      <w:pPr>
        <w:pStyle w:val="BodyText"/>
      </w:pPr>
      <w:r>
        <w:t xml:space="preserve">A reason explains an action as intelligible to its agent. Someone returns a lost wallet because it belongs to another; the ownership is part of what counts in favor of returning it. Neural and social causes help explain how this judgment becomes possible. They do not automatically replace the question whether the reason is sound. Even the argument that all reasoning is causally determined asks us to accept its conclusion because its premises support it, rather than merely because events produced the belief.</w:t>
      </w:r>
    </w:p>
    <w:p>
      <w:pPr>
        <w:pStyle w:val="BodyText"/>
      </w:pPr>
      <w:r>
        <w:t xml:space="preserve">This gives reason-responsive agency an indispensable explanatory role. It does not alone prove that every choice has alternatives under exactly identical antecedent conditions, or that intellect is immaterial. A rival may grant genuine reasons while defending determinism. The stronger account of freedom pursued here adds that the person’s practical judgment and willing contribute to which available course is taken. Deliberation, intention, execution, and success remain distinct: one can intend to help, act freely, and fail because the world resists. Freedom names authorship under appropriate conditions, not omnipotence over outcomes.</w:t>
      </w:r>
    </w:p>
    <w:bookmarkEnd w:id="312"/>
    <w:bookmarkStart w:id="314" w:name="Xc98121bba84eb4e19f9a8d617d6791a6ced8831"/>
    <w:p>
      <w:pPr>
        <w:pStyle w:val="Heading2"/>
      </w:pPr>
      <w:r>
        <w:t xml:space="preserve">Receiving help can make an action more fully one’s own</w:t>
      </w:r>
    </w:p>
    <w:p>
      <w:pPr>
        <w:pStyle w:val="FirstParagraph"/>
      </w:pPr>
      <w:r>
        <w:t xml:space="preserve">Status: Philosophical argument.</w:t>
      </w:r>
    </w:p>
    <w:p>
      <w:pPr>
        <w:pStyle w:val="BodyText"/>
      </w:pPr>
      <w:r>
        <w:t xml:space="preserve">A communication device can enable someone to answer a question; an interpreter can make their decision intelligible; an accessible room can allow attendance. The causal contribution of assistance does not make the communicated intention belong to the device, interpreter, or architect. Ownership of the action follows the person’s understanding, intention, and control in the relevant respect, rather than the absence of conditions supplied by others. The same distinction makes education and friendship compatible with responsible agency.</w:t>
      </w:r>
    </w:p>
    <w:p>
      <w:pPr>
        <w:pStyle w:val="BodyText"/>
      </w:pPr>
      <w:r>
        <w:t xml:space="preserve">Support can also displace agency. An assistant may impose an answer, manipulate available information, or exploit dependence to take permanent control. The difference is practical and evidential: whose reasons guide the decision, how is consent established, and can the person revise or refuse it? Where present decision-making is impossible, protective substitution may serve the person’s good, but it requires proportionate justification and continuing respect. This is a framework for care, not a presumption that every person must demonstrate a particular level of independence.</w:t>
      </w:r>
    </w:p>
    <w:bookmarkStart w:id="313" w:name="Xc42e592cb1ee79d98bc6b11b46642a2bb93c387"/>
    <w:p>
      <w:pPr>
        <w:pStyle w:val="Heading3"/>
      </w:pPr>
      <w:r>
        <w:t xml:space="preserve">From received capacity to the participant’s own exercise</w:t>
      </w:r>
    </w:p>
    <w:p>
      <w:pPr>
        <w:pStyle w:val="FirstParagraph"/>
      </w:pPr>
      <w:r>
        <w:t xml:space="preserve">A conditional account of human action; support and authorship concern different explanatory respects.</w:t>
      </w:r>
    </w:p>
    <w:p>
      <w:pPr>
        <w:pStyle w:val="BodyText"/>
      </w:pPr>
      <w:r>
        <w:t xml:space="preserve">Indispensable premises:</w:t>
      </w:r>
    </w:p>
    <w:p>
      <w:pPr>
        <w:pStyle w:val="Compact"/>
        <w:numPr>
          <w:ilvl w:val="0"/>
          <w:numId w:val="1058"/>
        </w:numPr>
      </w:pPr>
      <w:r>
        <w:t xml:space="preserve">The person has a relevant capacity for understanding, intending, or directing the act.</w:t>
      </w:r>
    </w:p>
    <w:p>
      <w:pPr>
        <w:pStyle w:val="Compact"/>
        <w:numPr>
          <w:ilvl w:val="0"/>
          <w:numId w:val="1058"/>
        </w:numPr>
      </w:pPr>
      <w:r>
        <w:t xml:space="preserve">Assistance supplies enabling conditions while the person’s intention and appropriate control explain the act as theirs.</w:t>
      </w:r>
    </w:p>
    <w:p>
      <w:pPr>
        <w:pStyle w:val="FirstParagraph"/>
      </w:pPr>
      <w:r>
        <w:t xml:space="preserve">Why accept the passage?</w:t>
      </w:r>
    </w:p>
    <w:p>
      <w:pPr>
        <w:pStyle w:val="BodyText"/>
      </w:pPr>
      <w:r>
        <w:t xml:space="preserve">Supplying a condition of an action does not entail performing the action as its intentional subject. Otherwise education, language, and ordinary bodily dependence would make almost all human authorship impossible.</w:t>
      </w:r>
    </w:p>
    <w:p>
      <w:pPr>
        <w:pStyle w:val="BodyText"/>
      </w:pPr>
      <w:r>
        <w:t xml:space="preserve">The strongest rival is manipulation disguised as assistance. Attribution therefore requires evidence of the person’s understanding and direction, rather than dependence alone.</w:t>
      </w:r>
    </w:p>
    <w:p>
      <w:pPr>
        <w:pStyle w:val="BodyText"/>
      </w:pPr>
      <w:r>
        <w:t xml:space="preserve">What follows?</w:t>
      </w:r>
    </w:p>
    <w:p>
      <w:pPr>
        <w:pStyle w:val="BodyText"/>
      </w:pPr>
      <w:r>
        <w:t xml:space="preserve">An act can depend on extensive support and remain genuinely the person’s own act.</w:t>
      </w:r>
    </w:p>
    <w:p>
      <w:pPr>
        <w:pStyle w:val="BodyText"/>
      </w:pPr>
      <w:r>
        <w:t xml:space="preserve">Remaining burden: This does not settle every case of consent, cognitive impairment, coercion, or the metaphysics of divine concurrence.</w:t>
      </w:r>
    </w:p>
    <w:bookmarkEnd w:id="313"/>
    <w:bookmarkEnd w:id="314"/>
    <w:bookmarkStart w:id="316" w:name="X0d7a57c810f322274e0fd5983bfc94a9b0107bb"/>
    <w:p>
      <w:pPr>
        <w:pStyle w:val="Heading2"/>
      </w:pPr>
      <w:r>
        <w:t xml:space="preserve">The worth of a person is not a score for present performance</w:t>
      </w:r>
    </w:p>
    <w:p>
      <w:pPr>
        <w:pStyle w:val="FirstParagraph"/>
      </w:pPr>
      <w:r>
        <w:t xml:space="preserve">Status: Ethical argument under an explicit dignity principle; doctrinally confirmed.</w:t>
      </w:r>
    </w:p>
    <w:p>
      <w:pPr>
        <w:pStyle w:val="BodyText"/>
      </w:pPr>
      <w:r>
        <w:t xml:space="preserve">A sleeping adult does not lose standing when reasoning stops being exercised. An infant need not achieve a future intellectual performance before being owed protection. A person with profound disability does not become less someone because assistance cannot restore independent choice. These cases expose the cost of making basic dignity depend on current autonomy, usefulness, or public recognition. They also distinguish dignity from equal ability: equal standing need not imply identical capacities, needs, or responsibilities.</w:t>
      </w:r>
    </w:p>
    <w:p>
      <w:pPr>
        <w:pStyle w:val="BodyText"/>
      </w:pPr>
      <w:r>
        <w:t xml:space="preserve">The positive principle is that basic respect belongs to the human subject whose flourishing is at stake, rather than being earned through successful performance. Catholic teaching grounds this standing in creation in God’s image and a vocation to communion (CCC 355–357; 1700–1706). Philosophically, the principle requires defense against accounts that assign moral status by capacities alone; dependence cannot prove it unaided. Its practical consequence is clear: care should seek the person’s appropriate good, which may mean communication, safety, relief of pain, truthful presence, or companionship, even when no increase in productivity is possible.</w:t>
      </w:r>
    </w:p>
    <w:bookmarkStart w:id="315" w:name="Xf5027b5e90ce274accbf001c0e66e4fe9dea8c0"/>
    <w:p>
      <w:pPr>
        <w:pStyle w:val="Heading3"/>
      </w:pPr>
      <w:r>
        <w:t xml:space="preserve">From enduring subjecthood to respect beyond performance</w:t>
      </w:r>
    </w:p>
    <w:p>
      <w:pPr>
        <w:pStyle w:val="FirstParagraph"/>
      </w:pPr>
      <w:r>
        <w:t xml:space="preserve">A substantive ethical bridge, not a deduction of value from bare actuality.</w:t>
      </w:r>
    </w:p>
    <w:p>
      <w:pPr>
        <w:pStyle w:val="BodyText"/>
      </w:pPr>
      <w:r>
        <w:t xml:space="preserve">Indispensable premises:</w:t>
      </w:r>
    </w:p>
    <w:p>
      <w:pPr>
        <w:pStyle w:val="Compact"/>
        <w:numPr>
          <w:ilvl w:val="0"/>
          <w:numId w:val="1059"/>
        </w:numPr>
      </w:pPr>
      <w:r>
        <w:t xml:space="preserve">The same human subject persists through ordinary changes in the exercise of powers.</w:t>
      </w:r>
    </w:p>
    <w:p>
      <w:pPr>
        <w:pStyle w:val="Compact"/>
        <w:numPr>
          <w:ilvl w:val="0"/>
          <w:numId w:val="1059"/>
        </w:numPr>
      </w:pPr>
      <w:r>
        <w:t xml:space="preserve">Basic moral standing belongs to that human subject and is not awarded by current achievement.</w:t>
      </w:r>
    </w:p>
    <w:p>
      <w:pPr>
        <w:pStyle w:val="FirstParagraph"/>
      </w:pPr>
      <w:r>
        <w:t xml:space="preserve">Why accept the passage?</w:t>
      </w:r>
    </w:p>
    <w:p>
      <w:pPr>
        <w:pStyle w:val="BodyText"/>
      </w:pPr>
      <w:r>
        <w:t xml:space="preserve">If standing rose and fell with every suspension of performance, ordinary sleep and illness would remove protections just when vulnerability grows. Recognizing the enduring subject gives a stable bearer of those protections.</w:t>
      </w:r>
    </w:p>
    <w:p>
      <w:pPr>
        <w:pStyle w:val="BodyText"/>
      </w:pPr>
      <w:r>
        <w:t xml:space="preserve">A sophisticated capacity-based rival can protect temporary incapacity by appealing to retained dispositions. Congenital and profound impairment therefore expose the independent commitment to equal human dignity; the argument must state it rather than conceal it.</w:t>
      </w:r>
    </w:p>
    <w:p>
      <w:pPr>
        <w:pStyle w:val="BodyText"/>
      </w:pPr>
      <w:r>
        <w:t xml:space="preserve">What follows?</w:t>
      </w:r>
    </w:p>
    <w:p>
      <w:pPr>
        <w:pStyle w:val="BodyText"/>
      </w:pPr>
      <w:r>
        <w:t xml:space="preserve">Dependence and impaired performance do not cancel basic dignity or the claims of care.</w:t>
      </w:r>
    </w:p>
    <w:p>
      <w:pPr>
        <w:pStyle w:val="BodyText"/>
      </w:pPr>
      <w:r>
        <w:t xml:space="preserve">Remaining burden: The continuity argument alone does not derive the full scope of equal human dignity. The ethical principle and difficult boundary cases require further defense.</w:t>
      </w:r>
    </w:p>
    <w:bookmarkEnd w:id="315"/>
    <w:bookmarkEnd w:id="316"/>
    <w:bookmarkStart w:id="317" w:name="X5b4a5f283ea55da8385c2c53b8429a30abdd0d6"/>
    <w:p>
      <w:pPr>
        <w:pStyle w:val="Heading2"/>
      </w:pPr>
      <w:r>
        <w:t xml:space="preserve">Conscience judges; virtue makes the good more practicable</w:t>
      </w:r>
    </w:p>
    <w:p>
      <w:pPr>
        <w:pStyle w:val="FirstParagraph"/>
      </w:pPr>
      <w:r>
        <w:t xml:space="preserve">Status: Philosophical analysis within Catholic moral teaching.</w:t>
      </w:r>
    </w:p>
    <w:p>
      <w:pPr>
        <w:pStyle w:val="BodyText"/>
      </w:pPr>
      <w:r>
        <w:t xml:space="preserve">Conscience is practical judgment about what one should do, not a private power to make any desired action good. A sincere judgment can be mistaken; truth remains answerable to goods and obligations the judgment seeks to recognize. Formation therefore matters: evidence, honest reasoning, counsel, experience, and attention to those affected can improve judgment. Coercion does not become justified merely because someone judges badly; the duties of truthfulness and respect still need to be considered together (CCC 1776–1802).</w:t>
      </w:r>
    </w:p>
    <w:p>
      <w:pPr>
        <w:pStyle w:val="BodyText"/>
      </w:pPr>
      <w:r>
        <w:t xml:space="preserve">Virtue concerns the person becoming reliably able to recognize and choose the good. Courage does not erase fear; justice does not make another’s claim mine to waive. Repeated acts form habits, while education and grace can reshape attention and desire. This explains why freedom can grow through discipline without becoming mechanical: a truthful person can answer from a settled love of truth rather than repeatedly weigh lying as equally attractive. The perfection of agency concerns its intelligent exercise toward good, not the perpetual preservation of every defective option.</w:t>
      </w:r>
    </w:p>
    <w:bookmarkEnd w:id="317"/>
    <w:bookmarkStart w:id="318" w:name="Xdfff820d84db81f185c8cb7701a043b1cdf366f"/>
    <w:p>
      <w:pPr>
        <w:pStyle w:val="Heading2"/>
      </w:pPr>
      <w:r>
        <w:t xml:space="preserve">Responsibility reaches into the conditions we create for others</w:t>
      </w:r>
    </w:p>
    <w:p>
      <w:pPr>
        <w:pStyle w:val="FirstParagraph"/>
      </w:pPr>
      <w:r>
        <w:t xml:space="preserve">Status: Moral argument and doctrinally received account of sin.</w:t>
      </w:r>
    </w:p>
    <w:p>
      <w:pPr>
        <w:pStyle w:val="BodyText"/>
      </w:pPr>
      <w:r>
        <w:t xml:space="preserve">Responsibility requires attention to knowledge, intention, freedom, and foreseeable consequences. Fear, coercion, ignorance, illness, habit, and social pressure can diminish culpability without making the resulting harm good (CCC 1735). Christian teaching also distinguishes original sin, a deprivation affecting inherited human life, from each person’s own chosen fault (CCC 405). Woundedness is neither proof that every individual is personally guilty for every condition nor a license to deny the need for conversion.</w:t>
      </w:r>
    </w:p>
    <w:p>
      <w:pPr>
        <w:pStyle w:val="BodyText"/>
      </w:pPr>
      <w:r>
        <w:t xml:space="preserve">Social arrangements can enable or obstruct responsible life. A workplace can reward honesty or punish it; institutions can distribute education, safety, and voice fairly or deny them. The common good is therefore more than the sum of private satisfactions. It concerns shared conditions through which persons and communities can flourish. No metaphysical fact of dependence gives a caregiver, employer, or state unrestricted authority. Legitimate authority serves goods of persons through morally permissible means, including the participation of those affected. The distinction between assistance and appropriation thus becomes a test of institutions as well as intimate care.</w:t>
      </w:r>
    </w:p>
    <w:bookmarkEnd w:id="318"/>
    <w:bookmarkStart w:id="319" w:name="Xc6f03336e71b4e3c27366602b840f4f5d7faa5e"/>
    <w:p>
      <w:pPr>
        <w:pStyle w:val="Heading2"/>
      </w:pPr>
      <w:r>
        <w:t xml:space="preserve">A received life can become a personal answer</w:t>
      </w:r>
    </w:p>
    <w:p>
      <w:pPr>
        <w:pStyle w:val="FirstParagraph"/>
      </w:pPr>
      <w:r>
        <w:t xml:space="preserve">Status: Theological interpretation with philosophical preparation.</w:t>
      </w:r>
    </w:p>
    <w:p>
      <w:pPr>
        <w:pStyle w:val="BodyText"/>
      </w:pPr>
      <w:r>
        <w:t xml:space="preserve">Christianity identifies the human vocation through Christ rather than deriving it from the definition of dependence. Creation, incarnation, reconciliation, grace, and resurrection supply determinate theological content: the person is called into communion with the Father through the Son in the Spirit. Christ illuminates humanity without making each human person an incarnation. Grace can perfect our knowing and willing because gifts can become genuinely ours; the supernatural end and its enabling gift nevertheless exceed what this general possibility establishes.</w:t>
      </w:r>
    </w:p>
    <w:p>
      <w:pPr>
        <w:pStyle w:val="BodyText"/>
      </w:pPr>
      <w:r>
        <w:t xml:space="preserve">Prayer is one concrete form of that answer. Bodily posture, learned words, memory, silence, and help from others can support a free act of trust and petition. A person’s prayer remains personal when language fails or attention is fragile; its worth is not measured by conspicuous feeling or fluent performance. Human history also remains morally serious. Forgiveness can transform a relationship without making the injury necessary or good. Fulfillment promises that a person’s life can be healed and gathered, while the wrong suffered remains something to oppose and grieve.</w:t>
      </w:r>
    </w:p>
    <w:bookmarkEnd w:id="319"/>
    <w:bookmarkStart w:id="327" w:name="core-questions-and-answers-5"/>
    <w:p>
      <w:pPr>
        <w:pStyle w:val="Heading2"/>
      </w:pPr>
      <w:r>
        <w:t xml:space="preserve">Core questions and answers</w:t>
      </w:r>
    </w:p>
    <w:bookmarkStart w:id="320" w:name="Xe46f56ab19eb3fef8f34dcd6d51ba000055091e"/>
    <w:p>
      <w:pPr>
        <w:pStyle w:val="Heading3"/>
      </w:pPr>
      <w:r>
        <w:t xml:space="preserve">Does belief in a soul mean that the real person is a ghost using a body?</w:t>
      </w:r>
    </w:p>
    <w:p>
      <w:pPr>
        <w:pStyle w:val="FirstParagraph"/>
      </w:pPr>
      <w:r>
        <w:t xml:space="preserve">No. Catholic teaching understands soul and body as principles of one living human nature, with the soul the spiritual form of the body. Seeing, remembering, grieving, and acting are acts of the human person, even though they involve powers and conditions that require different explanations. The body’s dignity follows from whose body it is, not from its usefulness to an otherwise complete self.</w:t>
      </w:r>
    </w:p>
    <w:p>
      <w:pPr>
        <w:pStyle w:val="BodyText"/>
      </w:pPr>
      <w:r>
        <w:t xml:space="preserve">The teaching that the spiritual soul survives death is compatible with regarding bodily separation as an incomplete condition awaiting resurrection. It does not settle every contemporary dispute about mind and brain. A physicalist rival must be answered through arguments about intellect, consciousness, unity, and identity; invoking participation alone cannot do that work.</w:t>
      </w:r>
    </w:p>
    <w:bookmarkEnd w:id="320"/>
    <w:bookmarkStart w:id="321" w:name="Xac470f7a01acc9b1c0f74b7385c9935176a4427"/>
    <w:p>
      <w:pPr>
        <w:pStyle w:val="Heading3"/>
      </w:pPr>
      <w:r>
        <w:t xml:space="preserve">Personal unity without reducing all powers to one description</w:t>
      </w:r>
    </w:p>
    <w:p>
      <w:pPr>
        <w:pStyle w:val="FirstParagraph"/>
      </w:pPr>
      <w:r>
        <w:t xml:space="preserve">Catholic anthropology supported by the explanatory requirement to account for a unified subject.</w:t>
      </w:r>
    </w:p>
    <w:p>
      <w:pPr>
        <w:pStyle w:val="BodyText"/>
      </w:pPr>
      <w:r>
        <w:t xml:space="preserve">Indispensable premises:</w:t>
      </w:r>
    </w:p>
    <w:p>
      <w:pPr>
        <w:pStyle w:val="Compact"/>
        <w:numPr>
          <w:ilvl w:val="0"/>
          <w:numId w:val="1060"/>
        </w:numPr>
      </w:pPr>
      <w:r>
        <w:t xml:space="preserve">Bodily and intellectual activities belong to one human subject.</w:t>
      </w:r>
    </w:p>
    <w:p>
      <w:pPr>
        <w:pStyle w:val="Compact"/>
        <w:numPr>
          <w:ilvl w:val="0"/>
          <w:numId w:val="1060"/>
        </w:numPr>
      </w:pPr>
      <w:r>
        <w:t xml:space="preserve">Distinction of powers does not by itself entail a plurality of complete personal subjects.</w:t>
      </w:r>
    </w:p>
    <w:p>
      <w:pPr>
        <w:pStyle w:val="FirstParagraph"/>
      </w:pPr>
      <w:r>
        <w:t xml:space="preserve">Why accept the passage?</w:t>
      </w:r>
    </w:p>
    <w:p>
      <w:pPr>
        <w:pStyle w:val="BodyText"/>
      </w:pPr>
      <w:r>
        <w:t xml:space="preserve">Attributing every distinct capacity to a separate complete agent would multiply subjects without explaining their coordinated life. The Catholic form-body account proposes a deeper unity while preserving distinct powers.</w:t>
      </w:r>
    </w:p>
    <w:p>
      <w:pPr>
        <w:pStyle w:val="BodyText"/>
      </w:pPr>
      <w:r>
        <w:t xml:space="preserve">What follows?</w:t>
      </w:r>
    </w:p>
    <w:p>
      <w:pPr>
        <w:pStyle w:val="BodyText"/>
      </w:pPr>
      <w:r>
        <w:t xml:space="preserve">Body and soul need not be construed as two complete beings joined by external cooperation.</w:t>
      </w:r>
    </w:p>
    <w:p>
      <w:pPr>
        <w:pStyle w:val="BodyText"/>
      </w:pPr>
      <w:r>
        <w:t xml:space="preserve">Remaining burden: This blocks a misleading inference; it does not independently demonstrate spiritual subsistence or supply a full philosophy of consciousness.</w:t>
      </w:r>
    </w:p>
    <w:p>
      <w:pPr>
        <w:pStyle w:val="BodyText"/>
      </w:pPr>
      <w:hyperlink r:id="rId193">
        <w:r>
          <w:rPr>
            <w:rStyle w:val="Hyperlink"/>
          </w:rPr>
          <w:t xml:space="preserve">Nature, person, and constitution</w:t>
        </w:r>
      </w:hyperlink>
      <w:r>
        <w:t xml:space="preserve"> </w:t>
      </w:r>
      <w:r>
        <w:t xml:space="preserve">·</w:t>
      </w:r>
      <w:r>
        <w:t xml:space="preserve"> </w:t>
      </w:r>
      <w:hyperlink r:id="rId214">
        <w:r>
          <w:rPr>
            <w:rStyle w:val="Hyperlink"/>
          </w:rPr>
          <w:t xml:space="preserve">Bodily resurrection</w:t>
        </w:r>
      </w:hyperlink>
    </w:p>
    <w:bookmarkEnd w:id="321"/>
    <w:bookmarkStart w:id="322" w:name="X67602ad43b34a6b0e1233fe5c251da25a58cc5d"/>
    <w:p>
      <w:pPr>
        <w:pStyle w:val="Heading3"/>
      </w:pPr>
      <w:r>
        <w:t xml:space="preserve">If my powers depend on God and other people, how can my actions really be mine?</w:t>
      </w:r>
    </w:p>
    <w:p>
      <w:pPr>
        <w:pStyle w:val="FirstParagraph"/>
      </w:pPr>
      <w:r>
        <w:t xml:space="preserve">Because dependence for a power and authorship of its exercise are different relations. A teacher can make understanding possible while the student is the one who understands. A communication aid can enable someone to express an intention without becoming the subject who intends. Genuine support supplies conditions for the person’s own exercise rather than competing for a share of authorship at the same explanatory level.</w:t>
      </w:r>
    </w:p>
    <w:p>
      <w:pPr>
        <w:pStyle w:val="BodyText"/>
      </w:pPr>
      <w:r>
        <w:t xml:space="preserve">This answer is conditional on real human powers and appropriate control being present. Manipulation, coercion, or replacement can instead remove authorship in the relevant respect. Divine support introduces the further question of how God sustains the actual free exercise; it cannot be settled simply by scaling up the teacher analogy. The distinction makes noncompetitive agency coherent while leaving particular accounts of concurrence open to scrutiny.</w:t>
      </w:r>
    </w:p>
    <w:bookmarkEnd w:id="322"/>
    <w:bookmarkStart w:id="323" w:name="X0d30b5107daff98d9db49a874e3e7bb7883fa69"/>
    <w:p>
      <w:pPr>
        <w:pStyle w:val="Heading3"/>
      </w:pPr>
      <w:r>
        <w:t xml:space="preserve">Distinguishing the explanation of power from the subject of action</w:t>
      </w:r>
    </w:p>
    <w:p>
      <w:pPr>
        <w:pStyle w:val="FirstParagraph"/>
      </w:pPr>
      <w:r>
        <w:t xml:space="preserve">A philosophical distinction, supplemented by the reality of secondary agency.</w:t>
      </w:r>
    </w:p>
    <w:p>
      <w:pPr>
        <w:pStyle w:val="BodyText"/>
      </w:pPr>
      <w:r>
        <w:t xml:space="preserve">Indispensable premises:</w:t>
      </w:r>
    </w:p>
    <w:p>
      <w:pPr>
        <w:pStyle w:val="Compact"/>
        <w:numPr>
          <w:ilvl w:val="0"/>
          <w:numId w:val="1061"/>
        </w:numPr>
      </w:pPr>
      <w:r>
        <w:t xml:space="preserve">The person’s understanding and intention have a genuine explanatory role in the action.</w:t>
      </w:r>
    </w:p>
    <w:p>
      <w:pPr>
        <w:pStyle w:val="Compact"/>
        <w:numPr>
          <w:ilvl w:val="0"/>
          <w:numId w:val="1061"/>
        </w:numPr>
      </w:pPr>
      <w:r>
        <w:t xml:space="preserve">Dependence does not eliminate that role merely by explaining how its exercise is possible.</w:t>
      </w:r>
    </w:p>
    <w:p>
      <w:pPr>
        <w:pStyle w:val="FirstParagraph"/>
      </w:pPr>
      <w:r>
        <w:t xml:space="preserve">Why accept the passage?</w:t>
      </w:r>
    </w:p>
    <w:p>
      <w:pPr>
        <w:pStyle w:val="BodyText"/>
      </w:pPr>
      <w:r>
        <w:t xml:space="preserve">An explanation of why a capacity exists does not entail that its possessor never exercises it. The rival occasionalist conclusion requires an additional argument denying efficacy to finite agents.</w:t>
      </w:r>
    </w:p>
    <w:p>
      <w:pPr>
        <w:pStyle w:val="BodyText"/>
      </w:pPr>
      <w:r>
        <w:t xml:space="preserve">What follows?</w:t>
      </w:r>
    </w:p>
    <w:p>
      <w:pPr>
        <w:pStyle w:val="BodyText"/>
      </w:pPr>
      <w:r>
        <w:t xml:space="preserve">Received power and genuine authorship are compatible.</w:t>
      </w:r>
    </w:p>
    <w:p>
      <w:pPr>
        <w:pStyle w:val="BodyText"/>
      </w:pPr>
      <w:r>
        <w:t xml:space="preserve">Remaining burden: A complete account must still explain freedom, divine concurrence, and cases where apparent agency is externally controlled.</w:t>
      </w:r>
    </w:p>
    <w:p>
      <w:pPr>
        <w:pStyle w:val="BodyText"/>
      </w:pPr>
      <w:hyperlink r:id="rId162">
        <w:r>
          <w:rPr>
            <w:rStyle w:val="Hyperlink"/>
          </w:rPr>
          <w:t xml:space="preserve">Divine and creaturely agency</w:t>
        </w:r>
      </w:hyperlink>
      <w:r>
        <w:t xml:space="preserve"> </w:t>
      </w:r>
      <w:r>
        <w:t xml:space="preserve">·</w:t>
      </w:r>
      <w:r>
        <w:t xml:space="preserve"> </w:t>
      </w:r>
      <w:hyperlink r:id="rId207">
        <w:r>
          <w:rPr>
            <w:rStyle w:val="Hyperlink"/>
          </w:rPr>
          <w:t xml:space="preserve">Grace and free cooperation</w:t>
        </w:r>
      </w:hyperlink>
    </w:p>
    <w:bookmarkEnd w:id="323"/>
    <w:bookmarkStart w:id="324" w:name="X853ee73fe17089fe7984c6c165c6b73d336b6d3"/>
    <w:p>
      <w:pPr>
        <w:pStyle w:val="Heading3"/>
      </w:pPr>
      <w:r>
        <w:t xml:space="preserve">Does someone who cannot exercise reason or independence have less dignity?</w:t>
      </w:r>
    </w:p>
    <w:p>
      <w:pPr>
        <w:pStyle w:val="FirstParagraph"/>
      </w:pPr>
      <w:r>
        <w:t xml:space="preserve">Not in this anthropology. Equal basic dignity belongs to the human person, not to a level of achievement. Abilities determine some forms of responsibility and the support needed; they do not determine whether someone is owed care. An infant, a person with dementia, and someone with profound disability need not earn recognition by becoming more useful or more independent.</w:t>
      </w:r>
    </w:p>
    <w:p>
      <w:pPr>
        <w:pStyle w:val="BodyText"/>
      </w:pPr>
      <w:r>
        <w:t xml:space="preserve">This conclusion contains a substantive moral commitment. Metaphysical dependence alone does not prove equal dignity, and an appeal to potential future performance leaves some vulnerable people unprotected. Catholic teaching grounds dignity in the person’s creation in God’s image and vocation to communion. The philosophical defense must also confront sophisticated capacity-based accounts rather than assume that every rival simply overlooks temporary incapacity.</w:t>
      </w:r>
    </w:p>
    <w:bookmarkEnd w:id="324"/>
    <w:bookmarkStart w:id="326" w:name="X55252f0e4d9299badf3ce95e759d36728d3d309"/>
    <w:p>
      <w:pPr>
        <w:pStyle w:val="Heading3"/>
      </w:pPr>
      <w:r>
        <w:t xml:space="preserve">Standing belongs to persons rather than successful performances</w:t>
      </w:r>
    </w:p>
    <w:p>
      <w:pPr>
        <w:pStyle w:val="FirstParagraph"/>
      </w:pPr>
      <w:r>
        <w:t xml:space="preserve">An ethical principle consonant with Catholic doctrine.</w:t>
      </w:r>
    </w:p>
    <w:p>
      <w:pPr>
        <w:pStyle w:val="BodyText"/>
      </w:pPr>
      <w:r>
        <w:t xml:space="preserve">Indispensable premises:</w:t>
      </w:r>
    </w:p>
    <w:p>
      <w:pPr>
        <w:pStyle w:val="Compact"/>
        <w:numPr>
          <w:ilvl w:val="0"/>
          <w:numId w:val="1062"/>
        </w:numPr>
      </w:pPr>
      <w:r>
        <w:t xml:space="preserve">A human person’s basic good can remain at stake when the exercise of capacities is absent.</w:t>
      </w:r>
    </w:p>
    <w:p>
      <w:pPr>
        <w:pStyle w:val="Compact"/>
        <w:numPr>
          <w:ilvl w:val="0"/>
          <w:numId w:val="1062"/>
        </w:numPr>
      </w:pPr>
      <w:r>
        <w:t xml:space="preserve">Basic respect is owed to the person whose good is at stake, not earned through demonstrable performance.</w:t>
      </w:r>
    </w:p>
    <w:p>
      <w:pPr>
        <w:pStyle w:val="FirstParagraph"/>
      </w:pPr>
      <w:r>
        <w:t xml:space="preserve">Why accept the passage?</w:t>
      </w:r>
    </w:p>
    <w:p>
      <w:pPr>
        <w:pStyle w:val="BodyText"/>
      </w:pPr>
      <w:r>
        <w:t xml:space="preserve">Care responds to a subject’s good even when the subject cannot request it or repay it. Making recognition depend on those abilities would make protection weakest precisely where dependence is greatest.</w:t>
      </w:r>
    </w:p>
    <w:p>
      <w:pPr>
        <w:pStyle w:val="BodyText"/>
      </w:pPr>
      <w:r>
        <w:t xml:space="preserve">What follows?</w:t>
      </w:r>
    </w:p>
    <w:p>
      <w:pPr>
        <w:pStyle w:val="BodyText"/>
      </w:pPr>
      <w:r>
        <w:t xml:space="preserve">Profound dependence increases the demands of appropriate care without reducing basic personal standing.</w:t>
      </w:r>
    </w:p>
    <w:p>
      <w:pPr>
        <w:pStyle w:val="BodyText"/>
      </w:pPr>
      <w:r>
        <w:t xml:space="preserve">Remaining burden: The ethical bridge requires its own defense; the argument does not equate dignity with an unlimited obligation to impose every possible medical treatment.</w:t>
      </w:r>
    </w:p>
    <w:p>
      <w:pPr>
        <w:pStyle w:val="BodyText"/>
      </w:pPr>
      <w:hyperlink r:id="rId325">
        <w:r>
          <w:rPr>
            <w:rStyle w:val="Hyperlink"/>
          </w:rPr>
          <w:t xml:space="preserve">Appropriate goods and flourishing</w:t>
        </w:r>
      </w:hyperlink>
      <w:r>
        <w:t xml:space="preserve"> </w:t>
      </w:r>
      <w:r>
        <w:t xml:space="preserve">·</w:t>
      </w:r>
      <w:r>
        <w:t xml:space="preserve"> </w:t>
      </w:r>
      <w:hyperlink r:id="rId211">
        <w:r>
          <w:rPr>
            <w:rStyle w:val="Hyperlink"/>
          </w:rPr>
          <w:t xml:space="preserve">Suffering and responsible care</w:t>
        </w:r>
      </w:hyperlink>
    </w:p>
    <w:bookmarkEnd w:id="326"/>
    <w:bookmarkEnd w:id="327"/>
    <w:bookmarkStart w:id="333" w:name="sources-and-precise-use-5"/>
    <w:p>
      <w:pPr>
        <w:pStyle w:val="Heading2"/>
      </w:pPr>
      <w:r>
        <w:t xml:space="preserve">Sources and precise use</w:t>
      </w:r>
    </w:p>
    <w:bookmarkStart w:id="328" w:name="X1d66a85760d1a8032be5c8eb78ca039a1839ba4"/>
    <w:p>
      <w:pPr>
        <w:pStyle w:val="Heading3"/>
      </w:pPr>
      <w:r>
        <w:t xml:space="preserve">Catholic Church: Catechism of the Catholic Church</w:t>
      </w:r>
    </w:p>
    <w:p>
      <w:pPr>
        <w:pStyle w:val="FirstParagraph"/>
      </w:pPr>
      <w:r>
        <w:t xml:space="preserve">Locus: 355–368: human dignity and soul-body unity.</w:t>
      </w:r>
    </w:p>
    <w:p>
      <w:pPr>
        <w:pStyle w:val="BodyText"/>
      </w:pPr>
      <w:r>
        <w:t xml:space="preserve">Status: Supplied primary text: selected passage consulted.</w:t>
      </w:r>
    </w:p>
    <w:p>
      <w:pPr>
        <w:pStyle w:val="BodyText"/>
      </w:pPr>
      <w:r>
        <w:t xml:space="preserve">Contribution: The human being is bodily and spiritual, one nature, with the spiritual soul the form of the body; personal dignity is not mere usefulness.</w:t>
      </w:r>
    </w:p>
    <w:p>
      <w:pPr>
        <w:pStyle w:val="BodyText"/>
      </w:pPr>
      <w:r>
        <w:t xml:space="preserve">Limit: These are theological commitments. Their statement is not an independent demonstration of every claim about soul, consciousness, or biology.</w:t>
      </w:r>
    </w:p>
    <w:p>
      <w:pPr>
        <w:pStyle w:val="BodyText"/>
      </w:pPr>
      <w:r>
        <w:t xml:space="preserve">Source/provenance: https://www.vatican.va/archive/ENG0015/_INDEX.HTM</w:t>
      </w:r>
    </w:p>
    <w:bookmarkEnd w:id="328"/>
    <w:bookmarkStart w:id="329" w:name="Xcc1505c5a85b21dca0124ac66dbed734273f372"/>
    <w:p>
      <w:pPr>
        <w:pStyle w:val="Heading3"/>
      </w:pPr>
      <w:r>
        <w:t xml:space="preserve">Catholic Church: Catechism of the Catholic Church</w:t>
      </w:r>
    </w:p>
    <w:p>
      <w:pPr>
        <w:pStyle w:val="FirstParagraph"/>
      </w:pPr>
      <w:r>
        <w:t xml:space="preserve">Locus: 405; 1700–1748: wounded nature, vocation, freedom, and responsibility.</w:t>
      </w:r>
    </w:p>
    <w:p>
      <w:pPr>
        <w:pStyle w:val="BodyText"/>
      </w:pPr>
      <w:r>
        <w:t xml:space="preserve">Status: Supplied primary text: selected passage consulted.</w:t>
      </w:r>
    </w:p>
    <w:p>
      <w:pPr>
        <w:pStyle w:val="BodyText"/>
      </w:pPr>
      <w:r>
        <w:t xml:space="preserve">Contribution: Original sin is distinguished from personal fault; human freedom and responsibility allow diminished imputability and the perfecting action of grace.</w:t>
      </w:r>
    </w:p>
    <w:p>
      <w:pPr>
        <w:pStyle w:val="BodyText"/>
      </w:pPr>
      <w:r>
        <w:t xml:space="preserve">Limit: Does not uniquely select one philosophical model of free choice or divine concurrence.</w:t>
      </w:r>
    </w:p>
    <w:p>
      <w:pPr>
        <w:pStyle w:val="BodyText"/>
      </w:pPr>
      <w:r>
        <w:t xml:space="preserve">Source/provenance: https://www.vatican.va/archive/ENG0015/_INDEX.HTM</w:t>
      </w:r>
    </w:p>
    <w:bookmarkEnd w:id="329"/>
    <w:bookmarkStart w:id="330" w:name="X5a898ced16aacefc5b18b9fc73dc50498906171"/>
    <w:p>
      <w:pPr>
        <w:pStyle w:val="Heading3"/>
      </w:pPr>
      <w:r>
        <w:t xml:space="preserve">Catholic Church: Catechism of the Catholic Church</w:t>
      </w:r>
    </w:p>
    <w:p>
      <w:pPr>
        <w:pStyle w:val="FirstParagraph"/>
      </w:pPr>
      <w:r>
        <w:t xml:space="preserve">Locus: 1776–1803: conscience and the opening definition of virtue.</w:t>
      </w:r>
    </w:p>
    <w:p>
      <w:pPr>
        <w:pStyle w:val="BodyText"/>
      </w:pPr>
      <w:r>
        <w:t xml:space="preserve">Status: Supplied primary text: selected passage consulted.</w:t>
      </w:r>
    </w:p>
    <w:p>
      <w:pPr>
        <w:pStyle w:val="BodyText"/>
      </w:pPr>
      <w:r>
        <w:t xml:space="preserve">Contribution: Conscience is practical rational judgment requiring formation; virtue is a stable disposition to do the good.</w:t>
      </w:r>
    </w:p>
    <w:p>
      <w:pPr>
        <w:pStyle w:val="BodyText"/>
      </w:pPr>
      <w:r>
        <w:t xml:space="preserve">Limit: Particular moral judgments still require adequate facts, principles, and practical reasoning.</w:t>
      </w:r>
    </w:p>
    <w:p>
      <w:pPr>
        <w:pStyle w:val="BodyText"/>
      </w:pPr>
      <w:r>
        <w:t xml:space="preserve">Source/provenance: https://www.vatican.va/archive/ENG0015/_INDEX.HTM</w:t>
      </w:r>
    </w:p>
    <w:bookmarkEnd w:id="330"/>
    <w:bookmarkStart w:id="331" w:name="X50ae543d6cffa2bff866c56796a61d6d6eb5999"/>
    <w:p>
      <w:pPr>
        <w:pStyle w:val="Heading3"/>
      </w:pPr>
      <w:r>
        <w:t xml:space="preserve">Catholic Church: Catechism of the Catholic Church</w:t>
      </w:r>
    </w:p>
    <w:p>
      <w:pPr>
        <w:pStyle w:val="FirstParagraph"/>
      </w:pPr>
      <w:r>
        <w:t xml:space="preserve">Locus: 1880–1885; 1901–1917; 1869: society, subsidiarity, common good, and structures of sin.</w:t>
      </w:r>
    </w:p>
    <w:p>
      <w:pPr>
        <w:pStyle w:val="BodyText"/>
      </w:pPr>
      <w:r>
        <w:t xml:space="preserve">Status: Supplied primary text: selected passage consulted.</w:t>
      </w:r>
    </w:p>
    <w:p>
      <w:pPr>
        <w:pStyle w:val="BodyText"/>
      </w:pPr>
      <w:r>
        <w:t xml:space="preserve">Contribution: Persons and institutions have responsibilities for shared conditions of flourishing; authority is measured by moral means and the common good.</w:t>
      </w:r>
    </w:p>
    <w:p>
      <w:pPr>
        <w:pStyle w:val="BodyText"/>
      </w:pPr>
      <w:r>
        <w:t xml:space="preserve">Limit: These principles require application and do not prescribe one exhaustive political or clinical policy.</w:t>
      </w:r>
    </w:p>
    <w:p>
      <w:pPr>
        <w:pStyle w:val="BodyText"/>
      </w:pPr>
      <w:r>
        <w:t xml:space="preserve">Source/provenance: https://www.vatican.va/archive/ENG0015/_INDEX.HTM</w:t>
      </w:r>
    </w:p>
    <w:bookmarkEnd w:id="331"/>
    <w:bookmarkStart w:id="332" w:name="Xe7285385f45b955edda039fc5acce3040cfc4a1"/>
    <w:p>
      <w:pPr>
        <w:pStyle w:val="Heading3"/>
      </w:pPr>
      <w:r>
        <w:t xml:space="preserve">Project manuscript supplied by the author: Being-First and Measured Manifestation: Definitive Synthetic Edition</w:t>
      </w:r>
    </w:p>
    <w:p>
      <w:pPr>
        <w:pStyle w:val="FirstParagraph"/>
      </w:pPr>
      <w:r>
        <w:t xml:space="preserve">Locus: Chapters 14, 22, and 32–33; project source-method note.</w:t>
      </w:r>
    </w:p>
    <w:p>
      <w:pPr>
        <w:pStyle w:val="BodyText"/>
      </w:pPr>
      <w:r>
        <w:t xml:space="preserve">Status: Supplied constructive manuscript: selected chapters consulted.</w:t>
      </w:r>
    </w:p>
    <w:p>
      <w:pPr>
        <w:pStyle w:val="BodyText"/>
      </w:pPr>
      <w:r>
        <w:t xml:space="preserve">Contribution: Supported agency, positive finite conditions, dignity beyond productivity, narrative care, and mortality without a deduction of resurrection.</w:t>
      </w:r>
    </w:p>
    <w:p>
      <w:pPr>
        <w:pStyle w:val="BodyText"/>
      </w:pPr>
      <w:r>
        <w:t xml:space="preserve">Limit: This is a constructive contribution, not an independently authoritative historical source. The link identifies provenance and source method; it is not the complete uploaded manuscript.</w:t>
      </w:r>
    </w:p>
    <w:p>
      <w:pPr>
        <w:pStyle w:val="BodyText"/>
      </w:pPr>
      <w:r>
        <w:t xml:space="preserve">Source/provenance: https://participation-6o4.pages.dev/research/atlas/source-method.md</w:t>
      </w:r>
    </w:p>
    <w:bookmarkEnd w:id="332"/>
    <w:bookmarkEnd w:id="333"/>
    <w:bookmarkStart w:id="334" w:name="where-this-argument-matters-5"/>
    <w:p>
      <w:pPr>
        <w:pStyle w:val="Heading2"/>
      </w:pPr>
      <w:r>
        <w:t xml:space="preserve">Where this argument matters</w:t>
      </w:r>
    </w:p>
    <w:p>
      <w:pPr>
        <w:pStyle w:val="Compact"/>
        <w:numPr>
          <w:ilvl w:val="0"/>
          <w:numId w:val="1063"/>
        </w:numPr>
      </w:pPr>
      <w:hyperlink r:id="rId207">
        <w:r>
          <w:rPr>
            <w:rStyle w:val="Hyperlink"/>
          </w:rPr>
          <w:t xml:space="preserve">Grace, Prayer, and Deification</w:t>
        </w:r>
      </w:hyperlink>
      <w:r>
        <w:t xml:space="preserve">: How divine gift can elevate an embodied person’s own understanding, love, and prayer.</w:t>
      </w:r>
    </w:p>
    <w:p>
      <w:pPr>
        <w:pStyle w:val="Compact"/>
        <w:numPr>
          <w:ilvl w:val="0"/>
          <w:numId w:val="1063"/>
        </w:numPr>
      </w:pPr>
      <w:hyperlink r:id="rId211">
        <w:r>
          <w:rPr>
            <w:rStyle w:val="Hyperlink"/>
          </w:rPr>
          <w:t xml:space="preserve">Providence, Evil, and History</w:t>
        </w:r>
      </w:hyperlink>
      <w:r>
        <w:t xml:space="preserve">: How responsibility and care survive conditions of suffering whose particular reasons remain hidden.</w:t>
      </w:r>
    </w:p>
    <w:p>
      <w:pPr>
        <w:pStyle w:val="Compact"/>
        <w:numPr>
          <w:ilvl w:val="0"/>
          <w:numId w:val="1063"/>
        </w:numPr>
      </w:pPr>
      <w:hyperlink r:id="rId214">
        <w:r>
          <w:rPr>
            <w:rStyle w:val="Hyperlink"/>
          </w:rPr>
          <w:t xml:space="preserve">Resurrection, Beatitude, and God All in All</w:t>
        </w:r>
      </w:hyperlink>
      <w:r>
        <w:t xml:space="preserve">: Why Christian fulfillment concerns the same embodied persons rather than the replacement of their history.</w:t>
      </w:r>
    </w:p>
    <w:p>
      <w:r>
        <w:pict>
          <v:rect style="width:0;height:1.5pt" o:hralign="center" o:hrstd="t" o:hr="t"/>
        </w:pict>
      </w:r>
    </w:p>
    <w:bookmarkEnd w:id="334"/>
    <w:bookmarkEnd w:id="335"/>
    <w:bookmarkStart w:id="375" w:name="grace-prayer-and-deification"/>
    <w:p>
      <w:pPr>
        <w:pStyle w:val="Heading1"/>
      </w:pPr>
      <w:r>
        <w:t xml:space="preserve">10. Grace, Prayer, and Deification</w:t>
      </w:r>
    </w:p>
    <w:p>
      <w:pPr>
        <w:pStyle w:val="FirstParagraph"/>
      </w:pPr>
      <w:r>
        <w:t xml:space="preserve">How can God give himself without becoming a part of us, and how can everything be grace while our response remains genuinely ours?</w:t>
      </w:r>
    </w:p>
    <w:p>
      <w:pPr>
        <w:pStyle w:val="BodyText"/>
      </w:pPr>
      <w:r>
        <w:t xml:space="preserve">Grace is God’s freely given fellowship, received through Christ in the Holy Spirit. Its effect is a real transformation of the creature: forgiveness, adoption, faith, hope, charity, and the capacity for a communion beyond the creature’s natural power. God does not supply a detachable portion of deity. The Spirit personally dwells in those whom he sanctifies, while the holiness and acts he brings about in them are genuinely theirs.</w:t>
      </w:r>
    </w:p>
    <w:p>
      <w:pPr>
        <w:pStyle w:val="BodyText"/>
      </w:pPr>
      <w:r>
        <w:t xml:space="preserve">Prayer is one exercise of that received life. The person asks, remembers, listens, gives thanks, laments, and loves. The gift does not make the response fictitious. It makes possible a response that could not originate itself. This page receives the Christian promise of grace as a theological premise, then asks how that promise can be articulated without erasing creaturely agency. The Rosary gives the inquiry a concrete form: embodied contemplation of Christ with Mary.</w:t>
      </w:r>
    </w:p>
    <w:bookmarkStart w:id="336" w:name="what-this-page-uses-6"/>
    <w:p>
      <w:pPr>
        <w:pStyle w:val="Heading2"/>
      </w:pPr>
      <w:r>
        <w:t xml:space="preserve">What this page uses</w:t>
      </w:r>
    </w:p>
    <w:p>
      <w:pPr>
        <w:pStyle w:val="Compact"/>
        <w:numPr>
          <w:ilvl w:val="0"/>
          <w:numId w:val="1064"/>
        </w:numPr>
      </w:pPr>
      <w:hyperlink r:id="rId160">
        <w:r>
          <w:rPr>
            <w:rStyle w:val="Hyperlink"/>
          </w:rPr>
          <w:t xml:space="preserve">Participation</w:t>
        </w:r>
      </w:hyperlink>
      <w:r>
        <w:t xml:space="preserve">: Real dependent possession provides the grammar of reception; supernatural elevation requires further theological warrant.</w:t>
      </w:r>
    </w:p>
    <w:p>
      <w:pPr>
        <w:pStyle w:val="Compact"/>
        <w:numPr>
          <w:ilvl w:val="0"/>
          <w:numId w:val="1064"/>
        </w:numPr>
      </w:pPr>
      <w:hyperlink r:id="rId162">
        <w:r>
          <w:rPr>
            <w:rStyle w:val="Hyperlink"/>
          </w:rPr>
          <w:t xml:space="preserve">Divine Agency</w:t>
        </w:r>
      </w:hyperlink>
      <w:r>
        <w:t xml:space="preserve">: Receiving a power and exercising it are distinct; divine support must preserve the person’s own knowing and willing.</w:t>
      </w:r>
    </w:p>
    <w:p>
      <w:pPr>
        <w:pStyle w:val="Compact"/>
        <w:numPr>
          <w:ilvl w:val="0"/>
          <w:numId w:val="1064"/>
        </w:numPr>
      </w:pPr>
      <w:hyperlink r:id="rId223">
        <w:r>
          <w:rPr>
            <w:rStyle w:val="Hyperlink"/>
          </w:rPr>
          <w:t xml:space="preserve">Incarnation</w:t>
        </w:r>
      </w:hyperlink>
      <w:r>
        <w:t xml:space="preserve">: Grace is communion through the incarnate Son, whose personal union with humanity is unique.</w:t>
      </w:r>
    </w:p>
    <w:bookmarkEnd w:id="336"/>
    <w:bookmarkStart w:id="337" w:name="what-it-undertakes-to-establish-6"/>
    <w:p>
      <w:pPr>
        <w:pStyle w:val="Heading2"/>
      </w:pPr>
      <w:r>
        <w:t xml:space="preserve">What it undertakes to establish</w:t>
      </w:r>
    </w:p>
    <w:p>
      <w:pPr>
        <w:pStyle w:val="Compact"/>
        <w:numPr>
          <w:ilvl w:val="0"/>
          <w:numId w:val="1065"/>
        </w:numPr>
      </w:pPr>
      <w:r>
        <w:t xml:space="preserve">A theological account of grace as gratuitous transformation and Trinitarian communion, distinct from ordinary created dependence.</w:t>
      </w:r>
    </w:p>
    <w:p>
      <w:pPr>
        <w:pStyle w:val="Compact"/>
        <w:numPr>
          <w:ilvl w:val="0"/>
          <w:numId w:val="1065"/>
        </w:numPr>
      </w:pPr>
      <w:r>
        <w:t xml:space="preserve">A positive account of prayer and cooperation that preserves both divine initiative and creaturely authorship.</w:t>
      </w:r>
    </w:p>
    <w:p>
      <w:pPr>
        <w:pStyle w:val="Compact"/>
        <w:numPr>
          <w:ilvl w:val="0"/>
          <w:numId w:val="1065"/>
        </w:numPr>
      </w:pPr>
      <w:r>
        <w:t xml:space="preserve">A Christ-centered Rosary guide and a sustained account of Marian intercession within Christ’s unique mediation.</w:t>
      </w:r>
    </w:p>
    <w:bookmarkEnd w:id="337"/>
    <w:bookmarkStart w:id="338" w:name="Xf726478aba55ed2441a6fae8754d3369af668d6"/>
    <w:p>
      <w:pPr>
        <w:pStyle w:val="Heading2"/>
      </w:pPr>
      <w:r>
        <w:t xml:space="preserve">God gives communion, and the creature really changes</w:t>
      </w:r>
    </w:p>
    <w:p>
      <w:pPr>
        <w:pStyle w:val="FirstParagraph"/>
      </w:pPr>
      <w:r>
        <w:t xml:space="preserve">Status: Doctrinally received; philosophical articulation.</w:t>
      </w:r>
    </w:p>
    <w:p>
      <w:pPr>
        <w:pStyle w:val="BodyText"/>
      </w:pPr>
      <w:r>
        <w:t xml:space="preserve">The Catechism distinguishes sanctifying grace, a stable supernatural gift, from particular divine helps traditionally called actual graces. It also describes grace first as the gift of the Spirit who justifies and sanctifies. These statements concern different realities. The divine Person is uncreated; a person’s renewed disposition, forgiven condition, and acts of charity are created. Indwelling does not mean that God becomes a constituent of the human person or that a new divine state appears inside the soul.</w:t>
      </w:r>
    </w:p>
    <w:p>
      <w:pPr>
        <w:pStyle w:val="BodyText"/>
      </w:pPr>
      <w:r>
        <w:t xml:space="preserve">The transformation has a definite subject. Someone formerly alienated is reconciled; someone unable to attain supernatural communion is enabled to live toward it. This is more than a favorable description applied to an unchanged subject. Yet the general metaphysics of participation cannot establish that such a gift has been offered. The warrant comes from Christian revelation, received and articulated in CCC 1996–2002. Philosophy clarifies the distinction between the giver, the created gift, and the recipient’s resulting life.</w:t>
      </w:r>
    </w:p>
    <w:bookmarkEnd w:id="338"/>
    <w:bookmarkStart w:id="340" w:name="Xb5321507eae725410b0e6c8aea0ac97262bfe83"/>
    <w:p>
      <w:pPr>
        <w:pStyle w:val="Heading2"/>
      </w:pPr>
      <w:r>
        <w:t xml:space="preserve">A fulfillment that cannot be claimed as a natural entitlement</w:t>
      </w:r>
    </w:p>
    <w:p>
      <w:pPr>
        <w:pStyle w:val="FirstParagraph"/>
      </w:pPr>
      <w:r>
        <w:t xml:space="preserve">Status: Doctrinally received; conditional philosophical argument.</w:t>
      </w:r>
    </w:p>
    <w:p>
      <w:pPr>
        <w:pStyle w:val="BodyText"/>
      </w:pPr>
      <w:r>
        <w:t xml:space="preserve">Human beings naturally seek truth, goodness, love, and a final answer to mortality. These desires make the Christian promise intelligible, but a desire does not establish a proportionate natural power to attain its every possible fulfillment. Knowing God immediately and sharing Trinitarian fellowship exceed the native resources of created intellect and will. Grace therefore heals what sin has damaged and elevates the creature toward a freely promised supernatural end.</w:t>
      </w:r>
    </w:p>
    <w:p>
      <w:pPr>
        <w:pStyle w:val="BodyText"/>
      </w:pPr>
      <w:r>
        <w:t xml:space="preserve">The real gift perfects this person rather than replacing human life with divine nature. Learning, bodily care, friendship, responsibility, and justice retain their goods. Deification means sharing divine life by grace while remaining created. Calling ordinary existence a participation in God cannot erase the distinction: creation already gives real being, whereas sanctifying grace gives the further communion described by Christian faith. Their common dependence on God does not make their contents interchangeable.</w:t>
      </w:r>
    </w:p>
    <w:bookmarkStart w:id="339" w:name="X274aca69a9f3813ea4a35367f46a5bfb5a5c97e"/>
    <w:p>
      <w:pPr>
        <w:pStyle w:val="Heading3"/>
      </w:pPr>
      <w:r>
        <w:t xml:space="preserve">From dependence to supernatural communion</w:t>
      </w:r>
    </w:p>
    <w:p>
      <w:pPr>
        <w:pStyle w:val="FirstParagraph"/>
      </w:pPr>
      <w:r>
        <w:t xml:space="preserve">Theological bridge, not a deduction from generic participation.</w:t>
      </w:r>
    </w:p>
    <w:p>
      <w:pPr>
        <w:pStyle w:val="BodyText"/>
      </w:pPr>
      <w:r>
        <w:t xml:space="preserve">Indispensable premises:</w:t>
      </w:r>
    </w:p>
    <w:p>
      <w:pPr>
        <w:pStyle w:val="Compact"/>
        <w:numPr>
          <w:ilvl w:val="0"/>
          <w:numId w:val="1066"/>
        </w:numPr>
      </w:pPr>
      <w:r>
        <w:t xml:space="preserve">Created existence and natural powers do not by themselves confer the immediate possession of divine life.</w:t>
      </w:r>
    </w:p>
    <w:p>
      <w:pPr>
        <w:pStyle w:val="Compact"/>
        <w:numPr>
          <w:ilvl w:val="0"/>
          <w:numId w:val="1066"/>
        </w:numPr>
      </w:pPr>
      <w:r>
        <w:t xml:space="preserve">Christian revelation promises adoption and communion through the Son in the Spirit.</w:t>
      </w:r>
    </w:p>
    <w:p>
      <w:pPr>
        <w:pStyle w:val="FirstParagraph"/>
      </w:pPr>
      <w:r>
        <w:t xml:space="preserve">Why accept the passage?</w:t>
      </w:r>
    </w:p>
    <w:p>
      <w:pPr>
        <w:pStyle w:val="BodyText"/>
      </w:pPr>
      <w:r>
        <w:t xml:space="preserve">The additional gift must be identified by its distinctive effect and end. Otherwise a theology of grace merely renames the dependence already shared by every creature.</w:t>
      </w:r>
    </w:p>
    <w:p>
      <w:pPr>
        <w:pStyle w:val="BodyText"/>
      </w:pPr>
      <w:r>
        <w:t xml:space="preserve">What follows?</w:t>
      </w:r>
    </w:p>
    <w:p>
      <w:pPr>
        <w:pStyle w:val="BodyText"/>
      </w:pPr>
      <w:r>
        <w:t xml:space="preserve">Grace is real received participation with a specifically supernatural content and end.</w:t>
      </w:r>
    </w:p>
    <w:p>
      <w:pPr>
        <w:pStyle w:val="BodyText"/>
      </w:pPr>
      <w:r>
        <w:t xml:space="preserve">Remaining burden: A purely natural account of human fulfillment remains a philosophical rival unless the revelatory promise is independently warranted. The exact relation of natural desire to supernatural fulfillment remains disputed among Catholic schools.</w:t>
      </w:r>
    </w:p>
    <w:bookmarkEnd w:id="339"/>
    <w:bookmarkEnd w:id="340"/>
    <w:bookmarkStart w:id="342" w:name="the-gift-becomes-the-persons-own-act"/>
    <w:p>
      <w:pPr>
        <w:pStyle w:val="Heading2"/>
      </w:pPr>
      <w:r>
        <w:t xml:space="preserve">The gift becomes the person’s own act</w:t>
      </w:r>
    </w:p>
    <w:p>
      <w:pPr>
        <w:pStyle w:val="FirstParagraph"/>
      </w:pPr>
      <w:r>
        <w:t xml:space="preserve">Status: Doctrinally received; constructive account of cooperation.</w:t>
      </w:r>
    </w:p>
    <w:p>
      <w:pPr>
        <w:pStyle w:val="BodyText"/>
      </w:pPr>
      <w:r>
        <w:t xml:space="preserve">A person who forgives with grace is the one who forgives. God does not forgive through an otherwise inactive human shell. CCC 1993 and 2001–2002 place divine initiative before and within the human response: even preparation for grace is already assisted, yet the person truly assents and cooperates. The recipient’s dependence concerns the power and help by which the act is possible; authorship concerns who understands, intends, and performs it. These are different questions about one action.</w:t>
      </w:r>
    </w:p>
    <w:p>
      <w:pPr>
        <w:pStyle w:val="BodyText"/>
      </w:pPr>
      <w:r>
        <w:t xml:space="preserve">This gives a positive account of supported freedom. A teacher’s help can make a learner more capable without supplying the learner’s answer in place of the learner. The analogy is limited because divine action sustains the whole created operation. Nevertheless, the relevant criterion survives: assistance perfects agency when the subject actually judges and wills. Rival Catholic accounts explain the efficacy of grace differently. Noncompetitive causality alone does not settle their disagreement about freedom, resistance, and predestination.</w:t>
      </w:r>
    </w:p>
    <w:bookmarkStart w:id="341" w:name="assistance-that-perfects-authorship"/>
    <w:p>
      <w:pPr>
        <w:pStyle w:val="Heading3"/>
      </w:pPr>
      <w:r>
        <w:t xml:space="preserve">Assistance that perfects authorship</w:t>
      </w:r>
    </w:p>
    <w:p>
      <w:pPr>
        <w:pStyle w:val="FirstParagraph"/>
      </w:pPr>
      <w:r>
        <w:t xml:space="preserve">Conditional explanation within the doctrinal affirmation of grace and free response.</w:t>
      </w:r>
    </w:p>
    <w:p>
      <w:pPr>
        <w:pStyle w:val="BodyText"/>
      </w:pPr>
      <w:r>
        <w:t xml:space="preserve">Indispensable premises:</w:t>
      </w:r>
    </w:p>
    <w:p>
      <w:pPr>
        <w:pStyle w:val="Compact"/>
        <w:numPr>
          <w:ilvl w:val="0"/>
          <w:numId w:val="1067"/>
        </w:numPr>
      </w:pPr>
      <w:r>
        <w:t xml:space="preserve">A human act requires the person’s own understanding and willing.</w:t>
      </w:r>
    </w:p>
    <w:p>
      <w:pPr>
        <w:pStyle w:val="Compact"/>
        <w:numPr>
          <w:ilvl w:val="0"/>
          <w:numId w:val="1067"/>
        </w:numPr>
      </w:pPr>
      <w:r>
        <w:t xml:space="preserve">Divine assistance can sustain and perfect these powers and their exercise without substituting another created agent’s act.</w:t>
      </w:r>
    </w:p>
    <w:p>
      <w:pPr>
        <w:pStyle w:val="FirstParagraph"/>
      </w:pPr>
      <w:r>
        <w:t xml:space="preserve">Why accept the passage?</w:t>
      </w:r>
    </w:p>
    <w:p>
      <w:pPr>
        <w:pStyle w:val="BodyText"/>
      </w:pPr>
      <w:r>
        <w:t xml:space="preserve">Dependence on assistance does not entail the absence of the recipient’s exercise. To infer displacement, one must show that the human contribution has actually been bypassed.</w:t>
      </w:r>
    </w:p>
    <w:p>
      <w:pPr>
        <w:pStyle w:val="BodyText"/>
      </w:pPr>
      <w:r>
        <w:t xml:space="preserve">What follows?</w:t>
      </w:r>
    </w:p>
    <w:p>
      <w:pPr>
        <w:pStyle w:val="BodyText"/>
      </w:pPr>
      <w:r>
        <w:t xml:space="preserve">A graced act can be wholly dependent on divine initiative and genuinely attributable to the human person.</w:t>
      </w:r>
    </w:p>
    <w:p>
      <w:pPr>
        <w:pStyle w:val="BodyText"/>
      </w:pPr>
      <w:r>
        <w:t xml:space="preserve">Remaining burden: Occasionalism denies the creature’s own efficacy, while coercive models remove willing. This bridge excludes those reductions only if genuine created powers and authorship have been defended; it does not choose between all Catholic theories of efficacious grace.</w:t>
      </w:r>
    </w:p>
    <w:bookmarkEnd w:id="341"/>
    <w:bookmarkEnd w:id="342"/>
    <w:bookmarkStart w:id="343" w:name="asking-listening-and-loving-before-god"/>
    <w:p>
      <w:pPr>
        <w:pStyle w:val="Heading2"/>
      </w:pPr>
      <w:r>
        <w:t xml:space="preserve">Asking, listening, and loving before God</w:t>
      </w:r>
    </w:p>
    <w:p>
      <w:pPr>
        <w:pStyle w:val="FirstParagraph"/>
      </w:pPr>
      <w:r>
        <w:t xml:space="preserve">Status: Theological account; philosophical clarification.</w:t>
      </w:r>
    </w:p>
    <w:p>
      <w:pPr>
        <w:pStyle w:val="BodyText"/>
      </w:pPr>
      <w:r>
        <w:t xml:space="preserve">Prayer has different acts and objects. Praise acknowledges divine goodness; thanksgiving receives a good as gift; confession recognizes fault; petition asks for a good; intercession asks for another; contemplation attends lovingly to God. None requires giving God information he previously lacked. A request can belong to the providential order as a real human act through which a good is sought and given. Its significance need not consist in changing an earlier divine decision.</w:t>
      </w:r>
    </w:p>
    <w:p>
      <w:pPr>
        <w:pStyle w:val="BodyText"/>
      </w:pPr>
      <w:r>
        <w:t xml:space="preserve">Petition therefore reaches beyond self-adjustment without becoming a technique for controlling outcomes. The Christian may ask for healing and daily bread, while entrusting the answer to divine wisdom. Failure to receive the requested outcome neither proves defective faith nor explains why a particular suffering was permitted. Lament remains prayer. The questions about providence and unanswered requests belong to the investigation of evil and history; they cannot be resolved by declaring every disappointment secretly desirable.</w:t>
      </w:r>
    </w:p>
    <w:bookmarkEnd w:id="343"/>
    <w:bookmarkStart w:id="344" w:name="X06854375e42d4405f54bb916dd4672d35751d80"/>
    <w:p>
      <w:pPr>
        <w:pStyle w:val="Heading2"/>
      </w:pPr>
      <w:r>
        <w:t xml:space="preserve">Mary’s freedom and intercession belong within Christ’s mediation</w:t>
      </w:r>
    </w:p>
    <w:p>
      <w:pPr>
        <w:pStyle w:val="FirstParagraph"/>
      </w:pPr>
      <w:r>
        <w:t xml:space="preserve">Status: Doctrinally received; theological articulation.</w:t>
      </w:r>
    </w:p>
    <w:p>
      <w:pPr>
        <w:pStyle w:val="BodyText"/>
      </w:pPr>
      <w:r>
        <w:t xml:space="preserve">Mary’s consent is a concrete instance of grace becoming personal response. Her fiat is an intelligible, freely given assent to God’s promise, not the independent initiation of salvation and not an involuntary role. Divine motherhood names her relation to the person she bears: the incarnate Son. It does not make her the origin of the divine nature. Her maternal life, pilgrimage of faith, and presence at the cross preserve the historical seriousness of this vocation.</w:t>
      </w:r>
    </w:p>
    <w:p>
      <w:pPr>
        <w:pStyle w:val="BodyText"/>
      </w:pPr>
      <w:r>
        <w:t xml:space="preserve">CCC 963–970 interprets her continuing intercession through her union with Christ. Asking Mary to pray is asking a glorified creature for a created act of love within the communion Christ gives. Every salvific efficacy depends on his unique mediation. Mary does not distribute a private supply of deity or make the Father more willing to love. Catholic veneration acknowledges the grace and mission of a creature; adoration belongs to the Father, Son, and Holy Spirit. The difference is one of kind, not simply greater and lesser intensity.</w:t>
      </w:r>
    </w:p>
    <w:bookmarkEnd w:id="344"/>
    <w:bookmarkStart w:id="357" w:name="Xe934ae60a440f176defa77110a7f690df082d1a"/>
    <w:p>
      <w:pPr>
        <w:pStyle w:val="Heading2"/>
      </w:pPr>
      <w:r>
        <w:t xml:space="preserve">The Rosary: contemplating Christ with Mary</w:t>
      </w:r>
    </w:p>
    <w:p>
      <w:pPr>
        <w:pStyle w:val="FirstParagraph"/>
      </w:pPr>
      <w:r>
        <w:t xml:space="preserve">Status: Received devotional practice; philosophical interpretation.</w:t>
      </w:r>
    </w:p>
    <w:p>
      <w:pPr>
        <w:pStyle w:val="BodyText"/>
      </w:pPr>
      <w:r>
        <w:t xml:space="preserve">The Rosary joins Gospel remembrance, spoken prayer, bodily rhythm, and contemplation. The central attention rests on Christ’s mysteries, including the graces he gives to Mary and the Church. The repeated Hail Mary names Jesus and asks for intercession. Beads keep practical count so that attention can return to the mystery. Neither the object nor the repetition mechanically causes grace. A calm feeling may accompany prayer, but it is not its measure or proof.</w:t>
      </w:r>
    </w:p>
    <w:p>
      <w:pPr>
        <w:pStyle w:val="BodyText"/>
      </w:pPr>
      <w:r>
        <w:t xml:space="preserve">A common way to begin is the Sign of the Cross, the Apostles’ Creed, one Our Father, three Hail Marys, and the Glory Be. Announce the first mystery, read a short scriptural passage or pause over its meaning, then pray one Our Father, ten Hail Marys, and the Glory Be. Repeat for five decades. Many add the Fatima prayer after each decade and close with the Hail Holy Queen and the Sign of the Cross. These additions and customary weekday schedules are devotional practices, not a universal obligation to use one fixed arrangement. A common weekly pattern uses Joyful mysteries on Monday and Saturday, Sorrowful on Tuesday and Friday, Glorious on Wednesday and Sunday, and Luminous on Thursday. Seasons and circumstances can suggest a different choice; the schedule serves prayer.</w:t>
      </w:r>
    </w:p>
    <w:p>
      <w:pPr>
        <w:pStyle w:val="BodyText"/>
      </w:pPr>
      <w:r>
        <w:t xml:space="preserve">The five Joyful Mysteries are the Annunciation, Visitation, Nativity, Presentation in the Temple, and Finding of Jesus in the Temple. The five Luminous Mysteries are Jesus’ Baptism in the Jordan, the Wedding at Cana, the Proclamation of the Kingdom with the call to conversion, the Transfiguration, and the Institution of the Eucharist. Each invites attention to a particular event and response, rather than an attempt to picture divine nature as a visible object.</w:t>
      </w:r>
    </w:p>
    <w:p>
      <w:pPr>
        <w:pStyle w:val="BodyText"/>
      </w:pPr>
      <w:r>
        <w:t xml:space="preserve">The five Sorrowful Mysteries are the Agony in the Garden, Scourging at the Pillar, Crowning with Thorns, Carrying of the Cross, and Crucifixion. The five Glorious Mysteries are the Resurrection, Ascension, Descent of the Holy Spirit, Assumption of Mary, and Coronation of Mary. The last two concern Christ’s grace fulfilled in his mother; they do not place her alongside him as an independent redeemer. John Paul II’s Rosarium Virginis Mariae is the principal further-reading guide for this Christ-centered contemplation.</w:t>
      </w:r>
    </w:p>
    <w:bookmarkStart w:id="349" w:name="the-twenty-mysteries"/>
    <w:p>
      <w:pPr>
        <w:pStyle w:val="Heading3"/>
      </w:pPr>
      <w:r>
        <w:t xml:space="preserve">The twenty mysteries</w:t>
      </w:r>
    </w:p>
    <w:bookmarkStart w:id="345" w:name="joyful-mysteries"/>
    <w:p>
      <w:pPr>
        <w:pStyle w:val="Heading4"/>
      </w:pPr>
      <w:r>
        <w:t xml:space="preserve">Joyful mysteries</w:t>
      </w:r>
    </w:p>
    <w:p>
      <w:pPr>
        <w:pStyle w:val="Compact"/>
        <w:numPr>
          <w:ilvl w:val="0"/>
          <w:numId w:val="1068"/>
        </w:numPr>
      </w:pPr>
      <w:r>
        <w:t xml:space="preserve">The Annunciation: Luke 1:26–38.</w:t>
      </w:r>
    </w:p>
    <w:p>
      <w:pPr>
        <w:pStyle w:val="Compact"/>
        <w:numPr>
          <w:ilvl w:val="0"/>
          <w:numId w:val="1068"/>
        </w:numPr>
      </w:pPr>
      <w:r>
        <w:t xml:space="preserve">The Visitation: Luke 1:39–56.</w:t>
      </w:r>
    </w:p>
    <w:p>
      <w:pPr>
        <w:pStyle w:val="Compact"/>
        <w:numPr>
          <w:ilvl w:val="0"/>
          <w:numId w:val="1068"/>
        </w:numPr>
      </w:pPr>
      <w:r>
        <w:t xml:space="preserve">The Nativity: Luke 2:1–20.</w:t>
      </w:r>
    </w:p>
    <w:p>
      <w:pPr>
        <w:pStyle w:val="Compact"/>
        <w:numPr>
          <w:ilvl w:val="0"/>
          <w:numId w:val="1068"/>
        </w:numPr>
      </w:pPr>
      <w:r>
        <w:t xml:space="preserve">The Presentation: Luke 2:22–38.</w:t>
      </w:r>
    </w:p>
    <w:p>
      <w:pPr>
        <w:pStyle w:val="Compact"/>
        <w:numPr>
          <w:ilvl w:val="0"/>
          <w:numId w:val="1068"/>
        </w:numPr>
      </w:pPr>
      <w:r>
        <w:t xml:space="preserve">The Finding in the Temple: Luke 2:41–52.</w:t>
      </w:r>
    </w:p>
    <w:bookmarkEnd w:id="345"/>
    <w:bookmarkStart w:id="346" w:name="luminous-mysteries"/>
    <w:p>
      <w:pPr>
        <w:pStyle w:val="Heading4"/>
      </w:pPr>
      <w:r>
        <w:t xml:space="preserve">Luminous mysteries</w:t>
      </w:r>
    </w:p>
    <w:p>
      <w:pPr>
        <w:pStyle w:val="Compact"/>
        <w:numPr>
          <w:ilvl w:val="0"/>
          <w:numId w:val="1069"/>
        </w:numPr>
      </w:pPr>
      <w:r>
        <w:t xml:space="preserve">The Baptism in the Jordan: Matthew 3:13–17.</w:t>
      </w:r>
    </w:p>
    <w:p>
      <w:pPr>
        <w:pStyle w:val="Compact"/>
        <w:numPr>
          <w:ilvl w:val="0"/>
          <w:numId w:val="1069"/>
        </w:numPr>
      </w:pPr>
      <w:r>
        <w:t xml:space="preserve">The Wedding at Cana: John 2:1–11.</w:t>
      </w:r>
    </w:p>
    <w:p>
      <w:pPr>
        <w:pStyle w:val="Compact"/>
        <w:numPr>
          <w:ilvl w:val="0"/>
          <w:numId w:val="1069"/>
        </w:numPr>
      </w:pPr>
      <w:r>
        <w:t xml:space="preserve">The Proclamation of the Kingdom: Mark 1:14–15.</w:t>
      </w:r>
    </w:p>
    <w:p>
      <w:pPr>
        <w:pStyle w:val="Compact"/>
        <w:numPr>
          <w:ilvl w:val="0"/>
          <w:numId w:val="1069"/>
        </w:numPr>
      </w:pPr>
      <w:r>
        <w:t xml:space="preserve">The Transfiguration: Luke 9:28–36.</w:t>
      </w:r>
    </w:p>
    <w:p>
      <w:pPr>
        <w:pStyle w:val="Compact"/>
        <w:numPr>
          <w:ilvl w:val="0"/>
          <w:numId w:val="1069"/>
        </w:numPr>
      </w:pPr>
      <w:r>
        <w:t xml:space="preserve">The Institution of the Eucharist: Luke 22:14–20.</w:t>
      </w:r>
    </w:p>
    <w:bookmarkEnd w:id="346"/>
    <w:bookmarkStart w:id="347" w:name="sorrowful-mysteries"/>
    <w:p>
      <w:pPr>
        <w:pStyle w:val="Heading4"/>
      </w:pPr>
      <w:r>
        <w:t xml:space="preserve">Sorrowful mysteries</w:t>
      </w:r>
    </w:p>
    <w:p>
      <w:pPr>
        <w:pStyle w:val="Compact"/>
        <w:numPr>
          <w:ilvl w:val="0"/>
          <w:numId w:val="1070"/>
        </w:numPr>
      </w:pPr>
      <w:r>
        <w:t xml:space="preserve">The Agony in the Garden: Matthew 26:36–46.</w:t>
      </w:r>
    </w:p>
    <w:p>
      <w:pPr>
        <w:pStyle w:val="Compact"/>
        <w:numPr>
          <w:ilvl w:val="0"/>
          <w:numId w:val="1070"/>
        </w:numPr>
      </w:pPr>
      <w:r>
        <w:t xml:space="preserve">The Scourging: John 19:1.</w:t>
      </w:r>
    </w:p>
    <w:p>
      <w:pPr>
        <w:pStyle w:val="Compact"/>
        <w:numPr>
          <w:ilvl w:val="0"/>
          <w:numId w:val="1070"/>
        </w:numPr>
      </w:pPr>
      <w:r>
        <w:t xml:space="preserve">The Crowning with Thorns: John 19:2–3.</w:t>
      </w:r>
    </w:p>
    <w:p>
      <w:pPr>
        <w:pStyle w:val="Compact"/>
        <w:numPr>
          <w:ilvl w:val="0"/>
          <w:numId w:val="1070"/>
        </w:numPr>
      </w:pPr>
      <w:r>
        <w:t xml:space="preserve">The Carrying of the Cross: John 19:16–17.</w:t>
      </w:r>
    </w:p>
    <w:p>
      <w:pPr>
        <w:pStyle w:val="Compact"/>
        <w:numPr>
          <w:ilvl w:val="0"/>
          <w:numId w:val="1070"/>
        </w:numPr>
      </w:pPr>
      <w:r>
        <w:t xml:space="preserve">The Crucifixion: John 19:18–30.</w:t>
      </w:r>
    </w:p>
    <w:bookmarkEnd w:id="347"/>
    <w:bookmarkStart w:id="348" w:name="glorious-mysteries"/>
    <w:p>
      <w:pPr>
        <w:pStyle w:val="Heading4"/>
      </w:pPr>
      <w:r>
        <w:t xml:space="preserve">Glorious mysteries</w:t>
      </w:r>
    </w:p>
    <w:p>
      <w:pPr>
        <w:pStyle w:val="Compact"/>
        <w:numPr>
          <w:ilvl w:val="0"/>
          <w:numId w:val="1071"/>
        </w:numPr>
      </w:pPr>
      <w:r>
        <w:t xml:space="preserve">The Resurrection: Luke 24:1–12.</w:t>
      </w:r>
    </w:p>
    <w:p>
      <w:pPr>
        <w:pStyle w:val="Compact"/>
        <w:numPr>
          <w:ilvl w:val="0"/>
          <w:numId w:val="1071"/>
        </w:numPr>
      </w:pPr>
      <w:r>
        <w:t xml:space="preserve">The Ascension: Acts 1:6–11.</w:t>
      </w:r>
    </w:p>
    <w:p>
      <w:pPr>
        <w:pStyle w:val="Compact"/>
        <w:numPr>
          <w:ilvl w:val="0"/>
          <w:numId w:val="1071"/>
        </w:numPr>
      </w:pPr>
      <w:r>
        <w:t xml:space="preserve">The Descent of the Holy Spirit: Acts 2:1–13.</w:t>
      </w:r>
    </w:p>
    <w:p>
      <w:pPr>
        <w:pStyle w:val="Compact"/>
        <w:numPr>
          <w:ilvl w:val="0"/>
          <w:numId w:val="1071"/>
        </w:numPr>
      </w:pPr>
      <w:r>
        <w:t xml:space="preserve">The Assumption of Mary: Catholic doctrinal mystery: CCC 966.</w:t>
      </w:r>
    </w:p>
    <w:p>
      <w:pPr>
        <w:pStyle w:val="Compact"/>
        <w:numPr>
          <w:ilvl w:val="0"/>
          <w:numId w:val="1071"/>
        </w:numPr>
      </w:pPr>
      <w:r>
        <w:t xml:space="preserve">The Coronation of Mary: Catholic theological mystery: CCC 966; Revelation 12 supplies imagery requiring interpretation.</w:t>
      </w:r>
    </w:p>
    <w:bookmarkEnd w:id="348"/>
    <w:bookmarkEnd w:id="349"/>
    <w:bookmarkStart w:id="356" w:name="prayer-texts-from-the-supplied-guide"/>
    <w:p>
      <w:pPr>
        <w:pStyle w:val="Heading3"/>
      </w:pPr>
      <w:r>
        <w:t xml:space="preserve">Prayer texts from the supplied guide</w:t>
      </w:r>
    </w:p>
    <w:bookmarkStart w:id="350" w:name="the-sign-of-the-cross"/>
    <w:p>
      <w:pPr>
        <w:pStyle w:val="Heading4"/>
      </w:pPr>
      <w:r>
        <w:t xml:space="preserve">The Sign of the Cross</w:t>
      </w:r>
    </w:p>
    <w:p>
      <w:pPr>
        <w:pStyle w:val="FirstParagraph"/>
      </w:pPr>
      <w:r>
        <w:t xml:space="preserve">In the name of the Father, and of the Son, and of the Holy Spirit. Amen.</w:t>
      </w:r>
    </w:p>
    <w:bookmarkEnd w:id="350"/>
    <w:bookmarkStart w:id="351" w:name="the-apostles-creed"/>
    <w:p>
      <w:pPr>
        <w:pStyle w:val="Heading4"/>
      </w:pPr>
      <w:r>
        <w:t xml:space="preserve">The Apostles’ Creed</w:t>
      </w:r>
    </w:p>
    <w:p>
      <w:pPr>
        <w:pStyle w:val="FirstParagraph"/>
      </w:pPr>
      <w:r>
        <w:t xml:space="preserve">I believe in God, the Father almighty, Creator of heaven and earth, and in Jesus Christ, His only Son, our Lord, who was conceived by the Holy Spirit, born of the Virgin Mary, suffered under Pontius Pilate, was crucified, died and was buried; He descended into hell; on the third day He rose again from the dead; He ascended into heaven, and is seated at the right hand of God the Father almighty; from there He will come to judge the living and the dead. I believe in the Holy Spirit, the holy Catholic Church, the communion of saints, the forgiveness of sins, the resurrection of the body, and life everlasting. Amen.</w:t>
      </w:r>
    </w:p>
    <w:bookmarkEnd w:id="351"/>
    <w:bookmarkStart w:id="352" w:name="the-our-father"/>
    <w:p>
      <w:pPr>
        <w:pStyle w:val="Heading4"/>
      </w:pPr>
      <w:r>
        <w:t xml:space="preserve">The Our Father</w:t>
      </w:r>
    </w:p>
    <w:p>
      <w:pPr>
        <w:pStyle w:val="FirstParagraph"/>
      </w:pPr>
      <w: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bookmarkEnd w:id="352"/>
    <w:bookmarkStart w:id="353" w:name="the-hail-mary"/>
    <w:p>
      <w:pPr>
        <w:pStyle w:val="Heading4"/>
      </w:pPr>
      <w:r>
        <w:t xml:space="preserve">The Hail Mary</w:t>
      </w:r>
    </w:p>
    <w:p>
      <w:pPr>
        <w:pStyle w:val="FirstParagraph"/>
      </w:pPr>
      <w:r>
        <w:t xml:space="preserve">Hail Mary, full of grace, the Lord is with thee; blessed art thou among women, and blessed is the fruit of thy womb, Jesus. Holy Mary, Mother of God, pray for us sinners, now and at the hour of our death. Amen.</w:t>
      </w:r>
    </w:p>
    <w:bookmarkEnd w:id="353"/>
    <w:bookmarkStart w:id="354" w:name="the-glory-be"/>
    <w:p>
      <w:pPr>
        <w:pStyle w:val="Heading4"/>
      </w:pPr>
      <w:r>
        <w:t xml:space="preserve">The Glory Be</w:t>
      </w:r>
    </w:p>
    <w:p>
      <w:pPr>
        <w:pStyle w:val="FirstParagraph"/>
      </w:pPr>
      <w:r>
        <w:t xml:space="preserve">Glory be to the Father, and to the Son, and to the Holy Spirit; as it was in the beginning, is now, and ever shall be, world without end. Amen.</w:t>
      </w:r>
    </w:p>
    <w:bookmarkEnd w:id="354"/>
    <w:bookmarkStart w:id="355" w:name="the-hail-holy-queen"/>
    <w:p>
      <w:pPr>
        <w:pStyle w:val="Heading4"/>
      </w:pPr>
      <w:r>
        <w:t xml:space="preserve">The Hail, Holy Queen</w:t>
      </w:r>
    </w:p>
    <w:p>
      <w:pPr>
        <w:pStyle w:val="FirstParagraph"/>
      </w:pPr>
      <w:r>
        <w:t xml:space="preserve">Hail, holy Queen, Mother of mercy, our life, our sweetness, and our hope. To thee do we cry, poor banished children of Eve; to thee do we send up our sighs, mourning and weeping in this valley of tears. Turn then, most gracious advocate, thine eyes of mercy toward us; and after this our exile, show unto us the blessed fruit of thy womb, Jesus. O clement, O loving, O sweet Virgin Mary. Pray for us, O holy Mother of God, that we may be made worthy of the promises of Christ.</w:t>
      </w:r>
    </w:p>
    <w:bookmarkEnd w:id="355"/>
    <w:bookmarkEnd w:id="356"/>
    <w:bookmarkEnd w:id="357"/>
    <w:bookmarkStart w:id="358" w:name="Xc82fb37a8995d14be10ca56920cc3b2eb09f3b1"/>
    <w:p>
      <w:pPr>
        <w:pStyle w:val="Heading2"/>
      </w:pPr>
      <w:r>
        <w:t xml:space="preserve">What repetition contributes, and what it cannot secure</w:t>
      </w:r>
    </w:p>
    <w:p>
      <w:pPr>
        <w:pStyle w:val="FirstParagraph"/>
      </w:pPr>
      <w:r>
        <w:t xml:space="preserve">Status: Philosophical argument; theological application.</w:t>
      </w:r>
    </w:p>
    <w:p>
      <w:pPr>
        <w:pStyle w:val="BodyText"/>
      </w:pPr>
      <w:r>
        <w:t xml:space="preserve">Repeated words can support attention because embodied minds are trained through practiced actions. A familiar phrase can carry an intention while another aspect of attention dwells on a mystery. Returning after distraction can itself be an act of fidelity. This explains a possible human contribution of the Rosary without assuming that every repetition is attentive or that its benefits are identical for everyone. Shorter prayer, silence, or another approved devotion may better fit a particular person’s circumstances.</w:t>
      </w:r>
    </w:p>
    <w:p>
      <w:pPr>
        <w:pStyle w:val="BodyText"/>
      </w:pPr>
      <w:r>
        <w:t xml:space="preserve">The indispensable distinction is between a practiced disposition and the supernatural gift. Breath, memory, habit, and imagination can support prayer; they do not manufacture divine indwelling. An extraordinary experience, reported apparition, or healing also requires independent discernment. A devotional practice does not authenticate every story attached to it. The relevant fruits include growing charity and responsibility, but apparent fruits alone cannot prove the origin or doctrinal significance of a claimed miracle.</w:t>
      </w:r>
    </w:p>
    <w:bookmarkEnd w:id="358"/>
    <w:bookmarkStart w:id="359" w:name="prayer-matures-into-a-shared-life"/>
    <w:p>
      <w:pPr>
        <w:pStyle w:val="Heading2"/>
      </w:pPr>
      <w:r>
        <w:t xml:space="preserve">Prayer matures into a shared life</w:t>
      </w:r>
    </w:p>
    <w:p>
      <w:pPr>
        <w:pStyle w:val="FirstParagraph"/>
      </w:pPr>
      <w:r>
        <w:t xml:space="preserve">Status: Doctrinally received; constructive synthesis.</w:t>
      </w:r>
    </w:p>
    <w:p>
      <w:pPr>
        <w:pStyle w:val="BodyText"/>
      </w:pPr>
      <w:r>
        <w:t xml:space="preserve">Prayer’s fulfillment is not permanent absorption in an inward state. Charity becomes patience with a neighbor, truthful work, repentance, service, and justice. The Holy Spirit gives communion by enabling distinct people to love; he does not become a common substance into which their identities dissolve. Holiness therefore strengthens personal action while also teaching dependence, gratitude, and the need for others. Someone unable to sustain elaborate prayer remains fully a person and a possible recipient of grace.</w:t>
      </w:r>
    </w:p>
    <w:p>
      <w:pPr>
        <w:pStyle w:val="BodyText"/>
      </w:pPr>
      <w:r>
        <w:t xml:space="preserve">The Rosary belongs within this larger life. It prepares for and extends the Church’s liturgical prayer without replacing the Eucharist, Scripture, the sacraments, or care for others. Mary appears here as a member and mother of the Church whose gifts point to Christ. The final horizon is communion in which the creature truly sees and loves God. Grace begins that life without exhausting its source or completing the God who freely gives it.</w:t>
      </w:r>
    </w:p>
    <w:bookmarkEnd w:id="359"/>
    <w:bookmarkStart w:id="366" w:name="core-questions-and-answers-6"/>
    <w:p>
      <w:pPr>
        <w:pStyle w:val="Heading2"/>
      </w:pPr>
      <w:r>
        <w:t xml:space="preserve">Core questions and answers</w:t>
      </w:r>
    </w:p>
    <w:bookmarkStart w:id="360" w:name="Xaf61bb22a5de2372fe0ed42ff3f7401f470863f"/>
    <w:p>
      <w:pPr>
        <w:pStyle w:val="Heading3"/>
      </w:pPr>
      <w:r>
        <w:t xml:space="preserve">If everything is grace, what is left for me to do?</w:t>
      </w:r>
    </w:p>
    <w:p>
      <w:pPr>
        <w:pStyle w:val="FirstParagraph"/>
      </w:pPr>
      <w:r>
        <w:t xml:space="preserve">The good act is left for you to do, with the help that makes it possible. Grace is not a rival action occupying the place where your decision should be. It awakens and sustains your own understanding, desire, assent, and loving action. A person can receive a capacity without ceasing to be the one who exercises it. This is why Christian cooperation is neither self-salvation nor inactivity.</w:t>
      </w:r>
    </w:p>
    <w:p>
      <w:pPr>
        <w:pStyle w:val="BodyText"/>
      </w:pPr>
      <w:r>
        <w:t xml:space="preserve">The explanation requires more than the word participation: the recipient must possess and exercise genuine powers. Catholic teaching affirms both divine initiative and free response; philosophical accounts must explain their conjunction. The detailed question of how effective grace relates to alternative possibilities remains disputed. A sound account must preserve willing rather than infer freedom merely because an action has God as its source.</w:t>
      </w:r>
    </w:p>
    <w:bookmarkEnd w:id="360"/>
    <w:bookmarkStart w:id="361" w:name="received-power-personal-exercise"/>
    <w:p>
      <w:pPr>
        <w:pStyle w:val="Heading3"/>
      </w:pPr>
      <w:r>
        <w:t xml:space="preserve">Received power, personal exercise</w:t>
      </w:r>
    </w:p>
    <w:p>
      <w:pPr>
        <w:pStyle w:val="FirstParagraph"/>
      </w:pPr>
      <w:r>
        <w:t xml:space="preserve">Doctrinal affirmation with a conditional account of agency.</w:t>
      </w:r>
    </w:p>
    <w:p>
      <w:pPr>
        <w:pStyle w:val="BodyText"/>
      </w:pPr>
      <w:r>
        <w:t xml:space="preserve">Indispensable premises:</w:t>
      </w:r>
    </w:p>
    <w:p>
      <w:pPr>
        <w:pStyle w:val="Compact"/>
        <w:numPr>
          <w:ilvl w:val="0"/>
          <w:numId w:val="1072"/>
        </w:numPr>
      </w:pPr>
      <w:r>
        <w:t xml:space="preserve">A power may be received while its exercise belongs to the recipient.</w:t>
      </w:r>
    </w:p>
    <w:p>
      <w:pPr>
        <w:pStyle w:val="Compact"/>
        <w:numPr>
          <w:ilvl w:val="0"/>
          <w:numId w:val="1072"/>
        </w:numPr>
      </w:pPr>
      <w:r>
        <w:t xml:space="preserve">Grace assists the human person’s own intellectual and voluntary operations.</w:t>
      </w:r>
    </w:p>
    <w:p>
      <w:pPr>
        <w:pStyle w:val="FirstParagraph"/>
      </w:pPr>
      <w:r>
        <w:t xml:space="preserve">Why accept the passage?</w:t>
      </w:r>
    </w:p>
    <w:p>
      <w:pPr>
        <w:pStyle w:val="BodyText"/>
      </w:pPr>
      <w:r>
        <w:t xml:space="preserve">The origin of a capacity and the subject exercising it need not coincide. If grace perfects those operations, dependence does not cancel their authorship.</w:t>
      </w:r>
    </w:p>
    <w:p>
      <w:pPr>
        <w:pStyle w:val="BodyText"/>
      </w:pPr>
      <w:r>
        <w:t xml:space="preserve">What follows?</w:t>
      </w:r>
    </w:p>
    <w:p>
      <w:pPr>
        <w:pStyle w:val="BodyText"/>
      </w:pPr>
      <w:r>
        <w:t xml:space="preserve">The person really cooperates without being the independent first origin of salvation.</w:t>
      </w:r>
    </w:p>
    <w:p>
      <w:pPr>
        <w:pStyle w:val="BodyText"/>
      </w:pPr>
      <w:r>
        <w:t xml:space="preserve">Remaining burden: A model that removes the person’s own intention has not explained cooperation. Competing Catholic accounts of efficacy require further argument.</w:t>
      </w:r>
    </w:p>
    <w:p>
      <w:pPr>
        <w:pStyle w:val="BodyText"/>
      </w:pPr>
      <w:hyperlink r:id="rId162">
        <w:r>
          <w:rPr>
            <w:rStyle w:val="Hyperlink"/>
          </w:rPr>
          <w:t xml:space="preserve">Divine and creaturely agency</w:t>
        </w:r>
      </w:hyperlink>
      <w:r>
        <w:t xml:space="preserve"> </w:t>
      </w:r>
      <w:r>
        <w:t xml:space="preserve">·</w:t>
      </w:r>
      <w:r>
        <w:t xml:space="preserve"> </w:t>
      </w:r>
      <w:hyperlink r:id="rId181">
        <w:r>
          <w:rPr>
            <w:rStyle w:val="Hyperlink"/>
          </w:rPr>
          <w:t xml:space="preserve">Human freedom and responsibility</w:t>
        </w:r>
      </w:hyperlink>
    </w:p>
    <w:bookmarkEnd w:id="361"/>
    <w:bookmarkStart w:id="362" w:name="X1a218bbc07557887e97479b34e2b61a32602f1e"/>
    <w:p>
      <w:pPr>
        <w:pStyle w:val="Heading3"/>
      </w:pPr>
      <w:r>
        <w:t xml:space="preserve">Why pray the Rosary or ask Mary’s intercession rather than speak directly to God?</w:t>
      </w:r>
    </w:p>
    <w:p>
      <w:pPr>
        <w:pStyle w:val="FirstParagraph"/>
      </w:pPr>
      <w:r>
        <w:t xml:space="preserve">You can speak directly to God. The Rosary is an additional way of contemplating Christ and praying within his communion of saints. Asking Mary to pray resembles asking another Christian for intercession, with the further theological premise that those alive in Christ remain in communion with us. Her particular maternal mission gives this practice its Marian character. Its efficacy remains wholly dependent on Christ.</w:t>
      </w:r>
    </w:p>
    <w:p>
      <w:pPr>
        <w:pStyle w:val="BodyText"/>
      </w:pPr>
      <w:r>
        <w:t xml:space="preserve">Repeated prayer can train attention, remembrance, and perseverance, but no fixed number of words purchases divine favor or guarantees healing. The Rosary is a devotion rather than an eighth sacrament. It should deepen scriptural contemplation, liturgical participation, and charity. Its practical form can be adapted to health, capacity, and circumstance without making God less accessible to someone who cannot complete it.</w:t>
      </w:r>
    </w:p>
    <w:bookmarkEnd w:id="362"/>
    <w:bookmarkStart w:id="363" w:name="intercession-within-one-mediation"/>
    <w:p>
      <w:pPr>
        <w:pStyle w:val="Heading3"/>
      </w:pPr>
      <w:r>
        <w:t xml:space="preserve">Intercession within one mediation</w:t>
      </w:r>
    </w:p>
    <w:p>
      <w:pPr>
        <w:pStyle w:val="FirstParagraph"/>
      </w:pPr>
      <w:r>
        <w:t xml:space="preserve">Theological account, dependent on the communion of saints.</w:t>
      </w:r>
    </w:p>
    <w:p>
      <w:pPr>
        <w:pStyle w:val="BodyText"/>
      </w:pPr>
      <w:r>
        <w:t xml:space="preserve">Indispensable premises:</w:t>
      </w:r>
    </w:p>
    <w:p>
      <w:pPr>
        <w:pStyle w:val="Compact"/>
        <w:numPr>
          <w:ilvl w:val="0"/>
          <w:numId w:val="1073"/>
        </w:numPr>
      </w:pPr>
      <w:r>
        <w:t xml:space="preserve">Christ gives a communion in which creatures can pray for one another.</w:t>
      </w:r>
    </w:p>
    <w:p>
      <w:pPr>
        <w:pStyle w:val="Compact"/>
        <w:numPr>
          <w:ilvl w:val="0"/>
          <w:numId w:val="1073"/>
        </w:numPr>
      </w:pPr>
      <w:r>
        <w:t xml:space="preserve">Catholic teaching includes Mary’s maternal intercession within that communion and entirely under Christ’s mediation.</w:t>
      </w:r>
    </w:p>
    <w:p>
      <w:pPr>
        <w:pStyle w:val="FirstParagraph"/>
      </w:pPr>
      <w:r>
        <w:t xml:space="preserve">Why accept the passage?</w:t>
      </w:r>
    </w:p>
    <w:p>
      <w:pPr>
        <w:pStyle w:val="BodyText"/>
      </w:pPr>
      <w:r>
        <w:t xml:space="preserve">A dependent intercessory act need not be an additional saving source. Its created reality expresses the participation Christ himself makes possible.</w:t>
      </w:r>
    </w:p>
    <w:p>
      <w:pPr>
        <w:pStyle w:val="BodyText"/>
      </w:pPr>
      <w:r>
        <w:t xml:space="preserve">What follows?</w:t>
      </w:r>
    </w:p>
    <w:p>
      <w:pPr>
        <w:pStyle w:val="BodyText"/>
      </w:pPr>
      <w:r>
        <w:t xml:space="preserve">Marian intercession can direct prayer toward God while direct prayer remains fully available.</w:t>
      </w:r>
    </w:p>
    <w:p>
      <w:pPr>
        <w:pStyle w:val="BodyText"/>
      </w:pPr>
      <w:r>
        <w:t xml:space="preserve">Remaining burden: Generic participation does not establish heavenly intercession or its particular Marian form; these depend on theological warrants. Veneration must remain distinct from divine adoration.</w:t>
      </w:r>
    </w:p>
    <w:p>
      <w:pPr>
        <w:pStyle w:val="BodyText"/>
      </w:pPr>
      <w:hyperlink r:id="rId271">
        <w:r>
          <w:rPr>
            <w:rStyle w:val="Hyperlink"/>
          </w:rPr>
          <w:t xml:space="preserve">How to pray the Rosary</w:t>
        </w:r>
      </w:hyperlink>
      <w:r>
        <w:t xml:space="preserve"> </w:t>
      </w:r>
      <w:r>
        <w:t xml:space="preserve">·</w:t>
      </w:r>
      <w:r>
        <w:t xml:space="preserve"> </w:t>
      </w:r>
      <w:hyperlink r:id="rId223">
        <w:r>
          <w:rPr>
            <w:rStyle w:val="Hyperlink"/>
          </w:rPr>
          <w:t xml:space="preserve">Mary and the Incarnation</w:t>
        </w:r>
      </w:hyperlink>
    </w:p>
    <w:bookmarkEnd w:id="363"/>
    <w:bookmarkStart w:id="364" w:name="X787d09ab530bf9324f0c03240237d9938734efb"/>
    <w:p>
      <w:pPr>
        <w:pStyle w:val="Heading3"/>
      </w:pPr>
      <w:r>
        <w:t xml:space="preserve">Does dryness or unanswered prayer mean that grace is absent?</w:t>
      </w:r>
    </w:p>
    <w:p>
      <w:pPr>
        <w:pStyle w:val="FirstParagraph"/>
      </w:pPr>
      <w:r>
        <w:t xml:space="preserve">No. Felt consolation is an experience; grace is God’s gift and the transformation it brings. Those realities can be related without being identical. A tired or grieving person may pray faithfully without peace or vivid attention. CCC 2005 cautions against treating feelings as a conclusive test of justification. Perseverance, honest lament, and practical love may remain possible when emotional reassurance is absent.</w:t>
      </w:r>
    </w:p>
    <w:p>
      <w:pPr>
        <w:pStyle w:val="BodyText"/>
      </w:pPr>
      <w:r>
        <w:t xml:space="preserve">This does not make every distress a special divine message or excuse neglect of medical, psychological, and social needs. Nor does it explain why a particular request was not granted. The Christian may seek help, ask again, and protest suffering before God. Providence requires an account of God’s relation to such requests; personal blame cannot substitute for it.</w:t>
      </w:r>
    </w:p>
    <w:bookmarkEnd w:id="364"/>
    <w:bookmarkStart w:id="365" w:name="gift-and-felt-awareness-are-distinct"/>
    <w:p>
      <w:pPr>
        <w:pStyle w:val="Heading3"/>
      </w:pPr>
      <w:r>
        <w:t xml:space="preserve">Gift and felt awareness are distinct</w:t>
      </w:r>
    </w:p>
    <w:p>
      <w:pPr>
        <w:pStyle w:val="FirstParagraph"/>
      </w:pPr>
      <w:r>
        <w:t xml:space="preserve">Conceptual distinction within the theology of grace.</w:t>
      </w:r>
    </w:p>
    <w:p>
      <w:pPr>
        <w:pStyle w:val="BodyText"/>
      </w:pPr>
      <w:r>
        <w:t xml:space="preserve">Indispensable premises:</w:t>
      </w:r>
    </w:p>
    <w:p>
      <w:pPr>
        <w:pStyle w:val="Compact"/>
        <w:numPr>
          <w:ilvl w:val="0"/>
          <w:numId w:val="1074"/>
        </w:numPr>
      </w:pPr>
      <w:r>
        <w:t xml:space="preserve">An experience of reassurance and the reality of a graced relation are different kinds of fact.</w:t>
      </w:r>
    </w:p>
    <w:p>
      <w:pPr>
        <w:pStyle w:val="Compact"/>
        <w:numPr>
          <w:ilvl w:val="0"/>
          <w:numId w:val="1074"/>
        </w:numPr>
      </w:pPr>
      <w:r>
        <w:t xml:space="preserve">No premise establishes that grace must always cause recognizable consolation.</w:t>
      </w:r>
    </w:p>
    <w:p>
      <w:pPr>
        <w:pStyle w:val="FirstParagraph"/>
      </w:pPr>
      <w:r>
        <w:t xml:space="preserve">Why accept the passage?</w:t>
      </w:r>
    </w:p>
    <w:p>
      <w:pPr>
        <w:pStyle w:val="BodyText"/>
      </w:pPr>
      <w:r>
        <w:t xml:space="preserve">Inferring the absence of grace from absent consolation requires the missing universal correlation. The distinction does not itself certify any particular person’s spiritual condition.</w:t>
      </w:r>
    </w:p>
    <w:p>
      <w:pPr>
        <w:pStyle w:val="BodyText"/>
      </w:pPr>
      <w:r>
        <w:t xml:space="preserve">What follows?</w:t>
      </w:r>
    </w:p>
    <w:p>
      <w:pPr>
        <w:pStyle w:val="BodyText"/>
      </w:pPr>
      <w:r>
        <w:t xml:space="preserve">Dryness alone does not establish abandonment by God or defective faith.</w:t>
      </w:r>
    </w:p>
    <w:p>
      <w:pPr>
        <w:pStyle w:val="BodyText"/>
      </w:pPr>
      <w:r>
        <w:t xml:space="preserve">Remaining burden: Discernment of a concrete condition needs personal, pastoral, and sometimes clinical attention. This distinction does not answer the broader problem of divine hiddenness.</w:t>
      </w:r>
    </w:p>
    <w:p>
      <w:pPr>
        <w:pStyle w:val="BodyText"/>
      </w:pPr>
      <w:hyperlink r:id="rId211">
        <w:r>
          <w:rPr>
            <w:rStyle w:val="Hyperlink"/>
          </w:rPr>
          <w:t xml:space="preserve">Providence and unanswered prayer</w:t>
        </w:r>
      </w:hyperlink>
      <w:r>
        <w:t xml:space="preserve"> </w:t>
      </w:r>
      <w:r>
        <w:t xml:space="preserve">·</w:t>
      </w:r>
      <w:r>
        <w:t xml:space="preserve"> </w:t>
      </w:r>
      <w:hyperlink r:id="rId190">
        <w:r>
          <w:rPr>
            <w:rStyle w:val="Hyperlink"/>
          </w:rPr>
          <w:t xml:space="preserve">Warranted recognition and revelation</w:t>
        </w:r>
      </w:hyperlink>
    </w:p>
    <w:bookmarkEnd w:id="365"/>
    <w:bookmarkEnd w:id="366"/>
    <w:bookmarkStart w:id="373" w:name="sources-and-precise-use-6"/>
    <w:p>
      <w:pPr>
        <w:pStyle w:val="Heading2"/>
      </w:pPr>
      <w:r>
        <w:t xml:space="preserve">Sources and precise use</w:t>
      </w:r>
    </w:p>
    <w:bookmarkStart w:id="367" w:name="Xd9835a41cd6a75b8b0fa7a4f70987434c10ad70"/>
    <w:p>
      <w:pPr>
        <w:pStyle w:val="Heading3"/>
      </w:pPr>
      <w:r>
        <w:t xml:space="preserve">Catholic Church: Catechism of the Catholic Church, second edition</w:t>
      </w:r>
    </w:p>
    <w:p>
      <w:pPr>
        <w:pStyle w:val="FirstParagraph"/>
      </w:pPr>
      <w:r>
        <w:t xml:space="preserve">Locus: 1993; 1996–2005; 2006–2011; 2013–2015.</w:t>
      </w:r>
    </w:p>
    <w:p>
      <w:pPr>
        <w:pStyle w:val="BodyText"/>
      </w:pPr>
      <w:r>
        <w:t xml:space="preserve">Status: Supplied primary text: selected passages consulted.</w:t>
      </w:r>
    </w:p>
    <w:p>
      <w:pPr>
        <w:pStyle w:val="BodyText"/>
      </w:pPr>
      <w:r>
        <w:t xml:space="preserve">Contribution: Gratuitous participation, sanctifying and actual grace, cooperation, merit, holiness, and the limits of experiential self-certification.</w:t>
      </w:r>
    </w:p>
    <w:p>
      <w:pPr>
        <w:pStyle w:val="BodyText"/>
      </w:pPr>
      <w:r>
        <w:t xml:space="preserve">Limit: These are theological premises; the passage does not decide every school dispute over efficacious grace.</w:t>
      </w:r>
    </w:p>
    <w:p>
      <w:pPr>
        <w:pStyle w:val="BodyText"/>
      </w:pPr>
      <w:r>
        <w:t xml:space="preserve">Source/provenance: https://www.vatican.va/content/catechism/en.html</w:t>
      </w:r>
    </w:p>
    <w:bookmarkEnd w:id="367"/>
    <w:bookmarkStart w:id="368" w:name="X97345e8d8dadf65c4c553d3d9ab5902bd788e73"/>
    <w:p>
      <w:pPr>
        <w:pStyle w:val="Heading3"/>
      </w:pPr>
      <w:r>
        <w:t xml:space="preserve">Catholic Church: Catechism of the Catholic Church, second edition</w:t>
      </w:r>
    </w:p>
    <w:p>
      <w:pPr>
        <w:pStyle w:val="FirstParagraph"/>
      </w:pPr>
      <w:r>
        <w:t xml:space="preserve">Locus: 963–972.</w:t>
      </w:r>
    </w:p>
    <w:p>
      <w:pPr>
        <w:pStyle w:val="BodyText"/>
      </w:pPr>
      <w:r>
        <w:t xml:space="preserve">Status: Supplied primary text: selected passages consulted.</w:t>
      </w:r>
    </w:p>
    <w:p>
      <w:pPr>
        <w:pStyle w:val="BodyText"/>
      </w:pPr>
      <w:r>
        <w:t xml:space="preserve">Contribution: Mary’s union with Christ, ecclesial motherhood, wholly dependent intercession, and the essential distinction between veneration and adoration.</w:t>
      </w:r>
    </w:p>
    <w:p>
      <w:pPr>
        <w:pStyle w:val="BodyText"/>
      </w:pPr>
      <w:r>
        <w:t xml:space="preserve">Limit: These doctrinal descriptions do not authenticate a particular apparition or alleged miracle.</w:t>
      </w:r>
    </w:p>
    <w:p>
      <w:pPr>
        <w:pStyle w:val="BodyText"/>
      </w:pPr>
      <w:r>
        <w:t xml:space="preserve">Source/provenance: https://www.vatican.va/content/catechism/en.html</w:t>
      </w:r>
    </w:p>
    <w:bookmarkEnd w:id="368"/>
    <w:bookmarkStart w:id="369" w:name="john-paul-ii-rosarium-virginis-mariae"/>
    <w:p>
      <w:pPr>
        <w:pStyle w:val="Heading3"/>
      </w:pPr>
      <w:r>
        <w:t xml:space="preserve">John Paul II: Rosarium Virginis Mariae</w:t>
      </w:r>
    </w:p>
    <w:p>
      <w:pPr>
        <w:pStyle w:val="FirstParagraph"/>
      </w:pPr>
      <w:r>
        <w:t xml:space="preserve">Locus: General further-reading orientation to the Rosary’s Christ-centered contemplation.</w:t>
      </w:r>
    </w:p>
    <w:p>
      <w:pPr>
        <w:pStyle w:val="BodyText"/>
      </w:pPr>
      <w:r>
        <w:t xml:space="preserve">Status: Unverified reading lead: user supplied the official link; live retrieval unavailable.</w:t>
      </w:r>
    </w:p>
    <w:p>
      <w:pPr>
        <w:pStyle w:val="BodyText"/>
      </w:pPr>
      <w:r>
        <w:t xml:space="preserve">Contribution: Principal magisterial reading guide proposed for the Rosary section.</w:t>
      </w:r>
    </w:p>
    <w:p>
      <w:pPr>
        <w:pStyle w:val="BodyText"/>
      </w:pPr>
      <w:r>
        <w:t xml:space="preserve">Limit: No exact quotation or freshly verified section-level attribution is made to the inaccessible webpage.</w:t>
      </w:r>
    </w:p>
    <w:p>
      <w:pPr>
        <w:pStyle w:val="BodyText"/>
      </w:pPr>
      <w:r>
        <w:t xml:space="preserve">Source/provenance: https://www.vatican.va/content/john-paul-ii/en/apost_letters/2002/documents/hf_jp-ii_apl_20021016_rosarium-virginis-mariae.html</w:t>
      </w:r>
    </w:p>
    <w:bookmarkEnd w:id="369"/>
    <w:bookmarkStart w:id="370" w:name="X0ed822221ab4d07728f8f05d3adade96d58aca5"/>
    <w:p>
      <w:pPr>
        <w:pStyle w:val="Heading3"/>
      </w:pPr>
      <w:r>
        <w:t xml:space="preserve">User-supplied practical guide: The Rosary Instructions With Daily Mysteries Through the Liturgical Year</w:t>
      </w:r>
    </w:p>
    <w:p>
      <w:pPr>
        <w:pStyle w:val="FirstParagraph"/>
      </w:pPr>
      <w:r>
        <w:t xml:space="preserve">Locus: Opening prayer sequence and the four sets of mysteries.</w:t>
      </w:r>
    </w:p>
    <w:p>
      <w:pPr>
        <w:pStyle w:val="BodyText"/>
      </w:pPr>
      <w:r>
        <w:t xml:space="preserve">Status: Supplied practical document: selected passages consulted.</w:t>
      </w:r>
    </w:p>
    <w:p>
      <w:pPr>
        <w:pStyle w:val="BodyText"/>
      </w:pPr>
      <w:r>
        <w:t xml:space="preserve">Contribution: The standard four mystery sets, prayer sequence, five-decade practice, and a customary weekly pattern.</w:t>
      </w:r>
    </w:p>
    <w:p>
      <w:pPr>
        <w:pStyle w:val="BodyText"/>
      </w:pPr>
      <w:r>
        <w:t xml:space="preserve">Limit: The supplied 2024 calendar is not reproduced. The weekday pattern is customary rather than obligatory.</w:t>
      </w:r>
    </w:p>
    <w:p>
      <w:pPr>
        <w:pStyle w:val="BodyText"/>
      </w:pPr>
      <w:r>
        <w:t xml:space="preserve">Source/provenance: https://participation-6o4.pages.dev/grace-and-prayer/#rosary</w:t>
      </w:r>
    </w:p>
    <w:bookmarkEnd w:id="370"/>
    <w:bookmarkStart w:id="371" w:name="X70a6b34a2cd40a7510c4246a82885f9c865539b"/>
    <w:p>
      <w:pPr>
        <w:pStyle w:val="Heading3"/>
      </w:pPr>
      <w:r>
        <w:t xml:space="preserve">User-supplied project manuscript: Being-First and Measured Manifestation: Definitive Synthetic Edition</w:t>
      </w:r>
    </w:p>
    <w:p>
      <w:pPr>
        <w:pStyle w:val="FirstParagraph"/>
      </w:pPr>
      <w:r>
        <w:t xml:space="preserve">Locus: Chapters 21, 24, and 28.</w:t>
      </w:r>
    </w:p>
    <w:p>
      <w:pPr>
        <w:pStyle w:val="BodyText"/>
      </w:pPr>
      <w:r>
        <w:t xml:space="preserve">Status: Supplied constructive manuscript: selected passages consulted.</w:t>
      </w:r>
    </w:p>
    <w:p>
      <w:pPr>
        <w:pStyle w:val="BodyText"/>
      </w:pPr>
      <w:r>
        <w:t xml:space="preserve">Contribution: Real received possession, communion preserving agency, and the distinction between objective reception and personal appropriation.</w:t>
      </w:r>
    </w:p>
    <w:p>
      <w:pPr>
        <w:pStyle w:val="BodyText"/>
      </w:pPr>
      <w:r>
        <w:t xml:space="preserve">Limit: The website develops this proposal and translates its technical vocabulary; it is not attributed to a single historical school.</w:t>
      </w:r>
    </w:p>
    <w:p>
      <w:pPr>
        <w:pStyle w:val="BodyText"/>
      </w:pPr>
      <w:r>
        <w:t xml:space="preserve">Source/provenance: https://participation-6o4.pages.dev/grace-and-prayer/#gift-and-transformation</w:t>
      </w:r>
    </w:p>
    <w:bookmarkEnd w:id="371"/>
    <w:bookmarkStart w:id="372" w:name="Xc394a2671adfb5f6309cec3eecc2e09be98cdb1"/>
    <w:p>
      <w:pPr>
        <w:pStyle w:val="Heading3"/>
      </w:pPr>
      <w:r>
        <w:t xml:space="preserve">Catholic Church: Catechism of the Catholic Church, second edition</w:t>
      </w:r>
    </w:p>
    <w:p>
      <w:pPr>
        <w:pStyle w:val="FirstParagraph"/>
      </w:pPr>
      <w:r>
        <w:t xml:space="preserve">Locus: 1674–1676; 2705–2708.</w:t>
      </w:r>
    </w:p>
    <w:p>
      <w:pPr>
        <w:pStyle w:val="BodyText"/>
      </w:pPr>
      <w:r>
        <w:t xml:space="preserve">Status: Supplied primary text: selected passages consulted in the project source check.</w:t>
      </w:r>
    </w:p>
    <w:p>
      <w:pPr>
        <w:pStyle w:val="BodyText"/>
      </w:pPr>
      <w:r>
        <w:t xml:space="preserve">Contribution: Devotion leads toward liturgy; meditation engages thought, imagination, emotion, and desire and is ordered toward union with Christ.</w:t>
      </w:r>
    </w:p>
    <w:p>
      <w:pPr>
        <w:pStyle w:val="BodyText"/>
      </w:pPr>
      <w:r>
        <w:t xml:space="preserve">Limit: The philosophical discussion of attention and repetition is a bounded reconstruction, not a clinical efficacy claim or a claim that technique causes grace.</w:t>
      </w:r>
    </w:p>
    <w:p>
      <w:pPr>
        <w:pStyle w:val="BodyText"/>
      </w:pPr>
      <w:r>
        <w:t xml:space="preserve">Source/provenance: https://www.vatican.va/content/catechism/en.html</w:t>
      </w:r>
    </w:p>
    <w:bookmarkEnd w:id="372"/>
    <w:bookmarkEnd w:id="373"/>
    <w:bookmarkStart w:id="374" w:name="where-this-argument-matters-6"/>
    <w:p>
      <w:pPr>
        <w:pStyle w:val="Heading2"/>
      </w:pPr>
      <w:r>
        <w:t xml:space="preserve">Where this argument matters</w:t>
      </w:r>
    </w:p>
    <w:p>
      <w:pPr>
        <w:pStyle w:val="Compact"/>
        <w:numPr>
          <w:ilvl w:val="0"/>
          <w:numId w:val="1075"/>
        </w:numPr>
      </w:pPr>
      <w:hyperlink r:id="rId224">
        <w:r>
          <w:rPr>
            <w:rStyle w:val="Hyperlink"/>
          </w:rPr>
          <w:t xml:space="preserve">Church, Sacrament, and Liturgy</w:t>
        </w:r>
      </w:hyperlink>
      <w:r>
        <w:t xml:space="preserve">: Prayer belongs to a communal and sacramental economy whose efficacy requires its own theological warrants.</w:t>
      </w:r>
    </w:p>
    <w:p>
      <w:pPr>
        <w:pStyle w:val="Compact"/>
        <w:numPr>
          <w:ilvl w:val="0"/>
          <w:numId w:val="1075"/>
        </w:numPr>
      </w:pPr>
      <w:hyperlink r:id="rId211">
        <w:r>
          <w:rPr>
            <w:rStyle w:val="Hyperlink"/>
          </w:rPr>
          <w:t xml:space="preserve">Providence, Evil, and History</w:t>
        </w:r>
      </w:hyperlink>
      <w:r>
        <w:t xml:space="preserve">: Petition and intercession raise the questions of permission, suffering, and unanswered prayer.</w:t>
      </w:r>
    </w:p>
    <w:p>
      <w:pPr>
        <w:pStyle w:val="Compact"/>
        <w:numPr>
          <w:ilvl w:val="0"/>
          <w:numId w:val="1075"/>
        </w:numPr>
      </w:pPr>
      <w:hyperlink r:id="rId214">
        <w:r>
          <w:rPr>
            <w:rStyle w:val="Hyperlink"/>
          </w:rPr>
          <w:t xml:space="preserve">Resurrection, Beatitude, and God All in All</w:t>
        </w:r>
      </w:hyperlink>
      <w:r>
        <w:t xml:space="preserve">: Grace anticipates communion fulfilled without absorption, with Mary’s Assumption as a specifically theological sign of hope.</w:t>
      </w:r>
    </w:p>
    <w:p>
      <w:r>
        <w:pict>
          <v:rect style="width:0;height:1.5pt" o:hralign="center" o:hrstd="t" o:hr="t"/>
        </w:pict>
      </w:r>
    </w:p>
    <w:bookmarkEnd w:id="374"/>
    <w:bookmarkEnd w:id="375"/>
    <w:bookmarkStart w:id="404" w:name="church-sacrament-and-liturgy"/>
    <w:p>
      <w:pPr>
        <w:pStyle w:val="Heading1"/>
      </w:pPr>
      <w:r>
        <w:t xml:space="preserve">11. Church, Sacrament, and Liturgy</w:t>
      </w:r>
    </w:p>
    <w:p>
      <w:pPr>
        <w:pStyle w:val="FirstParagraph"/>
      </w:pPr>
      <w:r>
        <w:t xml:space="preserve">How can a visible, human Church truly transmit divine truth and life without becoming their source or reducing them to human experience?</w:t>
      </w:r>
    </w:p>
    <w:p>
      <w:pPr>
        <w:pStyle w:val="BodyText"/>
      </w:pPr>
      <w:r>
        <w:t xml:space="preserve">The Church receives a mission before she exercises one. In Catholic teaching, Christ gathers a people, entrusts the apostolic witness, gives ministries, and communicates his life through the Holy Spirit. The resulting communion is visible and historical as well as spiritual. Its human words and actions can serve divine giving because created mediation need not compete with the source that establishes and sustains it.</w:t>
      </w:r>
    </w:p>
    <w:p>
      <w:pPr>
        <w:pStyle w:val="BodyText"/>
      </w:pPr>
      <w:r>
        <w:t xml:space="preserve">That general possibility is not a proof of every ecclesial claim. The Church’s authority, the institution of the sacraments, and Christ’s substantial Eucharistic presence require their particular theological warrants. This page distinguishes them, then explains why objective gift, trustworthy witness, personal recognition, and fruitful reception are related but irreducible. The recipient is neither the author of the gift’s reality nor an irrelevant spectator.</w:t>
      </w:r>
    </w:p>
    <w:bookmarkStart w:id="376" w:name="what-this-page-uses-7"/>
    <w:p>
      <w:pPr>
        <w:pStyle w:val="Heading2"/>
      </w:pPr>
      <w:r>
        <w:t xml:space="preserve">What this page uses</w:t>
      </w:r>
    </w:p>
    <w:p>
      <w:pPr>
        <w:pStyle w:val="Compact"/>
        <w:numPr>
          <w:ilvl w:val="0"/>
          <w:numId w:val="1076"/>
        </w:numPr>
      </w:pPr>
      <w:hyperlink r:id="rId190">
        <w:r>
          <w:rPr>
            <w:rStyle w:val="Hyperlink"/>
          </w:rPr>
          <w:t xml:space="preserve">Manifestation, Analogy, and Revelation</w:t>
        </w:r>
      </w:hyperlink>
      <w:r>
        <w:t xml:space="preserve">: Historical witness, interpretation, and warrant are necessary to distinguish received revelation from an institution’s self-assertion.</w:t>
      </w:r>
    </w:p>
    <w:p>
      <w:pPr>
        <w:pStyle w:val="Compact"/>
        <w:numPr>
          <w:ilvl w:val="0"/>
          <w:numId w:val="1076"/>
        </w:numPr>
      </w:pPr>
      <w:hyperlink r:id="rId223">
        <w:r>
          <w:rPr>
            <w:rStyle w:val="Hyperlink"/>
          </w:rPr>
          <w:t xml:space="preserve">Incarnation</w:t>
        </w:r>
      </w:hyperlink>
      <w:r>
        <w:t xml:space="preserve">: The Church receives her mission and sacraments from the incarnate and risen Christ; embodiment alone cannot deduce them.</w:t>
      </w:r>
    </w:p>
    <w:p>
      <w:pPr>
        <w:pStyle w:val="Compact"/>
        <w:numPr>
          <w:ilvl w:val="0"/>
          <w:numId w:val="1076"/>
        </w:numPr>
      </w:pPr>
      <w:hyperlink r:id="rId207">
        <w:r>
          <w:rPr>
            <w:rStyle w:val="Hyperlink"/>
          </w:rPr>
          <w:t xml:space="preserve">Grace, Prayer, and Deification</w:t>
        </w:r>
      </w:hyperlink>
      <w:r>
        <w:t xml:space="preserve">: The gift of the Spirit and real created transformation provide the theological content of sacramental communion.</w:t>
      </w:r>
    </w:p>
    <w:bookmarkEnd w:id="376"/>
    <w:bookmarkStart w:id="377" w:name="what-it-undertakes-to-establish-7"/>
    <w:p>
      <w:pPr>
        <w:pStyle w:val="Heading2"/>
      </w:pPr>
      <w:r>
        <w:t xml:space="preserve">What it undertakes to establish</w:t>
      </w:r>
    </w:p>
    <w:p>
      <w:pPr>
        <w:pStyle w:val="Compact"/>
        <w:numPr>
          <w:ilvl w:val="0"/>
          <w:numId w:val="1077"/>
        </w:numPr>
      </w:pPr>
      <w:r>
        <w:t xml:space="preserve">An account of ecclesial mediation that distinguishes source, witness, authority, instrument, and recipient.</w:t>
      </w:r>
    </w:p>
    <w:p>
      <w:pPr>
        <w:pStyle w:val="Compact"/>
        <w:numPr>
          <w:ilvl w:val="0"/>
          <w:numId w:val="1077"/>
        </w:numPr>
      </w:pPr>
      <w:r>
        <w:t xml:space="preserve">A distinction between sacramental efficacy and personal fruitfulness without reducing either to perception or ministerial holiness.</w:t>
      </w:r>
    </w:p>
    <w:p>
      <w:pPr>
        <w:pStyle w:val="Compact"/>
        <w:numPr>
          <w:ilvl w:val="0"/>
          <w:numId w:val="1077"/>
        </w:numPr>
      </w:pPr>
      <w:r>
        <w:t xml:space="preserve">An articulation of Eucharistic presence and communal worship faithful to Catholic doctrine and explicit about their theological warrant.</w:t>
      </w:r>
    </w:p>
    <w:bookmarkEnd w:id="377"/>
    <w:bookmarkStart w:id="378" w:name="a-people-gathered-by-a-gift"/>
    <w:p>
      <w:pPr>
        <w:pStyle w:val="Heading2"/>
      </w:pPr>
      <w:r>
        <w:t xml:space="preserve">A people gathered by a gift</w:t>
      </w:r>
    </w:p>
    <w:p>
      <w:pPr>
        <w:pStyle w:val="FirstParagraph"/>
      </w:pPr>
      <w:r>
        <w:t xml:space="preserve">Status: Doctrinally received; philosophical articulation.</w:t>
      </w:r>
    </w:p>
    <w:p>
      <w:pPr>
        <w:pStyle w:val="BodyText"/>
      </w:pPr>
      <w:r>
        <w:t xml:space="preserve">An assembly can be more than a collection of independent religious experiences. Common baptism, confession, worship, ministry, and charity give a determinate shared life. Catholic ecclesiology identifies this communion as Christ’s body and the people gathered by the Father through the Son in the Spirit. Neither image erases the members’ distinction. Communion concerns their living relation to Christ and one another, not their fusion into one created substance.</w:t>
      </w:r>
    </w:p>
    <w:p>
      <w:pPr>
        <w:pStyle w:val="BodyText"/>
      </w:pPr>
      <w:r>
        <w:t xml:space="preserve">The Church’s historical visibility matters: the Gospel is heard in languages, taught by people, celebrated through bodily acts, and lived across generations. The Holy Spirit is the personal divine giver of unity and holiness, not an extra social energy produced by successful cooperation. Human organization is real and necessary, but no organizational achievement can generate the indwelling it serves. The claim of divine institution therefore needs the warrant of revelation and its historical transmission.</w:t>
      </w:r>
    </w:p>
    <w:bookmarkEnd w:id="378"/>
    <w:bookmarkStart w:id="379" w:name="X8c7dd813d546e5dc1e5335de0194f6b97210da4"/>
    <w:p>
      <w:pPr>
        <w:pStyle w:val="Heading2"/>
      </w:pPr>
      <w:r>
        <w:t xml:space="preserve">Scripture and Tradition transmit a truth they do not produce</w:t>
      </w:r>
    </w:p>
    <w:p>
      <w:pPr>
        <w:pStyle w:val="FirstParagraph"/>
      </w:pPr>
      <w:r>
        <w:t xml:space="preserve">Status: Doctrinally received; source-based theological account.</w:t>
      </w:r>
    </w:p>
    <w:p>
      <w:pPr>
        <w:pStyle w:val="BodyText"/>
      </w:pPr>
      <w:r>
        <w:t xml:space="preserve">Dei Verbum 7–10 describes the apostolic handing-on as preaching, writing, example, and observance. Sacred Scripture and apostolic Tradition communicate one received deposit in distinct, related ways. Tradition here does not mean every old custom, and Scripture is not simply a record of the community’s changing self-understanding. The transmission is historical, yet its object claims an authority that the transmitting community cannot create by voting or repetition.</w:t>
      </w:r>
    </w:p>
    <w:p>
      <w:pPr>
        <w:pStyle w:val="BodyText"/>
      </w:pPr>
      <w:r>
        <w:t xml:space="preserve">Dei Verbum 11–12 also affirms real human authorship. Attention to language, literary form, intention, and historical setting belongs within interpretation of inspired Scripture. Reading in the Spirit involves the unity of Scripture, the living Tradition, and the coherence of faith; it does not license neglect of what a text actually says. The familiar pattern reappears: dependence on divine action need not abolish created authorship, and received meaning does not eliminate the disciplined work of understanding.</w:t>
      </w:r>
    </w:p>
    <w:bookmarkEnd w:id="379"/>
    <w:bookmarkStart w:id="381" w:name="Xf91d034aee7658bd03b33d642cf3d4f74fdeaca"/>
    <w:p>
      <w:pPr>
        <w:pStyle w:val="Heading2"/>
      </w:pPr>
      <w:r>
        <w:t xml:space="preserve">Authority serves the word and has a defined scope</w:t>
      </w:r>
    </w:p>
    <w:p>
      <w:pPr>
        <w:pStyle w:val="FirstParagraph"/>
      </w:pPr>
      <w:r>
        <w:t xml:space="preserve">Status: Doctrinally received; methodological application.</w:t>
      </w:r>
    </w:p>
    <w:p>
      <w:pPr>
        <w:pStyle w:val="BodyText"/>
      </w:pPr>
      <w:r>
        <w:t xml:space="preserve">Dei Verbum 10 explicitly places the teaching office in service of the word of God. The Magisterium authentically interprets what it receives; it is not a higher source authorized to manufacture a contrary revelation. This service is exercised through particular offices and acts. A definitive doctrinal judgment, ordinary authoritative teaching, a disciplinary decision, and a theologian’s private theory are not interchangeable. CCC 888–892 distinguishes forms of teaching and corresponding adherence.</w:t>
      </w:r>
    </w:p>
    <w:p>
      <w:pPr>
        <w:pStyle w:val="BodyText"/>
      </w:pPr>
      <w:r>
        <w:t xml:space="preserve">Development can clarify a received commitment and distinguish what earlier language left unresolved. It cannot make every institutional preference an infallible definition. The appropriate question is what is being taught, by whom, through which act, about which object, and with what authority. Newman’s developmental discipline is useful here as an evaluative analogy: preserve the governing type and principles while testing continuity, coherence, and explanatory fruitfulness. The atlas’s own philosophical synthesis remains a proposal, even when it explains a binding doctrine.</w:t>
      </w:r>
    </w:p>
    <w:bookmarkStart w:id="380" w:name="authority-as-accountable-interpretation"/>
    <w:p>
      <w:pPr>
        <w:pStyle w:val="Heading3"/>
      </w:pPr>
      <w:r>
        <w:t xml:space="preserve">Authority as accountable interpretation</w:t>
      </w:r>
    </w:p>
    <w:p>
      <w:pPr>
        <w:pStyle w:val="FirstParagraph"/>
      </w:pPr>
      <w:r>
        <w:t xml:space="preserve">Theological premise of an entrusted teaching office, with a logical distinction of roles.</w:t>
      </w:r>
    </w:p>
    <w:p>
      <w:pPr>
        <w:pStyle w:val="BodyText"/>
      </w:pPr>
      <w:r>
        <w:t xml:space="preserve">Indispensable premises:</w:t>
      </w:r>
    </w:p>
    <w:p>
      <w:pPr>
        <w:pStyle w:val="Compact"/>
        <w:numPr>
          <w:ilvl w:val="0"/>
          <w:numId w:val="1078"/>
        </w:numPr>
      </w:pPr>
      <w:r>
        <w:t xml:space="preserve">A received revelation has content prior to an interpreter’s present judgment.</w:t>
      </w:r>
    </w:p>
    <w:p>
      <w:pPr>
        <w:pStyle w:val="Compact"/>
        <w:numPr>
          <w:ilvl w:val="0"/>
          <w:numId w:val="1078"/>
        </w:numPr>
      </w:pPr>
      <w:r>
        <w:t xml:space="preserve">Catholic teaching entrusts authentic interpretation to a living ecclesial office with specified forms of authority.</w:t>
      </w:r>
    </w:p>
    <w:p>
      <w:pPr>
        <w:pStyle w:val="FirstParagraph"/>
      </w:pPr>
      <w:r>
        <w:t xml:space="preserve">Why accept the passage?</w:t>
      </w:r>
    </w:p>
    <w:p>
      <w:pPr>
        <w:pStyle w:val="BodyText"/>
      </w:pPr>
      <w:r>
        <w:t xml:space="preserve">The authority to interpret an entrusted content is constrained by that content. It does not confer an unrestricted power to replace its object; otherwise transmission and invention become indistinguishable.</w:t>
      </w:r>
    </w:p>
    <w:p>
      <w:pPr>
        <w:pStyle w:val="BodyText"/>
      </w:pPr>
      <w:r>
        <w:t xml:space="preserve">What follows?</w:t>
      </w:r>
    </w:p>
    <w:p>
      <w:pPr>
        <w:pStyle w:val="BodyText"/>
      </w:pPr>
      <w:r>
        <w:t xml:space="preserve">Ecclesial interpretation can be authoritative while remaining answerable to the revelation it serves.</w:t>
      </w:r>
    </w:p>
    <w:p>
      <w:pPr>
        <w:pStyle w:val="BodyText"/>
      </w:pPr>
      <w:r>
        <w:t xml:space="preserve">Remaining burden: A merely sociological account of ecclesial authority remains an external rival until the divine commission is warranted. This bridge does not establish the authority or infallibility of an unspecified statement.</w:t>
      </w:r>
    </w:p>
    <w:bookmarkEnd w:id="380"/>
    <w:bookmarkEnd w:id="381"/>
    <w:bookmarkStart w:id="383" w:name="X71a49dd04a6cd85ceedce3a6f617911b1231153"/>
    <w:p>
      <w:pPr>
        <w:pStyle w:val="Heading2"/>
      </w:pPr>
      <w:r>
        <w:t xml:space="preserve">A sacrament communicates rather than merely describes</w:t>
      </w:r>
    </w:p>
    <w:p>
      <w:pPr>
        <w:pStyle w:val="FirstParagraph"/>
      </w:pPr>
      <w:r>
        <w:t xml:space="preserve">Status: Doctrinally received; conditional account of instrumental mediation.</w:t>
      </w:r>
    </w:p>
    <w:p>
      <w:pPr>
        <w:pStyle w:val="BodyText"/>
      </w:pPr>
      <w:r>
        <w:t xml:space="preserve">A sacramental sign has an intelligible structure: created words and actions signify a gift and, by Christ’s institution and the Spirit’s action, communicate it. Baptism is not only a representation of cleansing; Catholic faith receives it as incorporation into Christ and new life. The mediation is therefore more than information. Yet water does not have an independent divine power alongside God, and the minister is not the ultimate source of the grace conferred.</w:t>
      </w:r>
    </w:p>
    <w:p>
      <w:pPr>
        <w:pStyle w:val="BodyText"/>
      </w:pPr>
      <w:r>
        <w:t xml:space="preserve">CCC 1113–1131 identifies seven sacraments: Baptism, Confirmation, and Eucharist establish and nourish Christian initiation; Penance and Anointing of the Sick serve healing; Holy Orders and Matrimony are ordered to the service of communion. Their distinct gifts and signs matter. A general theory that calls everything a manifestation cannot determine why these acts have these effects. Their institution and particular efficacy are theological premises, while philosophical analysis explains how a created instrument can act dependently without being unreal.</w:t>
      </w:r>
    </w:p>
    <w:bookmarkStart w:id="382" w:name="created-mediation-with-received-efficacy"/>
    <w:p>
      <w:pPr>
        <w:pStyle w:val="Heading3"/>
      </w:pPr>
      <w:r>
        <w:t xml:space="preserve">Created mediation with received efficacy</w:t>
      </w:r>
    </w:p>
    <w:p>
      <w:pPr>
        <w:pStyle w:val="FirstParagraph"/>
      </w:pPr>
      <w:r>
        <w:t xml:space="preserve">Conditional explanation under the theological premise of Christ’s sacramental institution.</w:t>
      </w:r>
    </w:p>
    <w:p>
      <w:pPr>
        <w:pStyle w:val="BodyText"/>
      </w:pPr>
      <w:r>
        <w:t xml:space="preserve">Indispensable premises:</w:t>
      </w:r>
    </w:p>
    <w:p>
      <w:pPr>
        <w:pStyle w:val="Compact"/>
        <w:numPr>
          <w:ilvl w:val="0"/>
          <w:numId w:val="1079"/>
        </w:numPr>
      </w:pPr>
      <w:r>
        <w:t xml:space="preserve">An instrumental act can be causally real while receiving the efficacy relevant to its operation.</w:t>
      </w:r>
    </w:p>
    <w:p>
      <w:pPr>
        <w:pStyle w:val="Compact"/>
        <w:numPr>
          <w:ilvl w:val="0"/>
          <w:numId w:val="1079"/>
        </w:numPr>
      </w:pPr>
      <w:r>
        <w:t xml:space="preserve">Christ institutes particular ecclesial signs to communicate particular gifts through the Spirit.</w:t>
      </w:r>
    </w:p>
    <w:p>
      <w:pPr>
        <w:pStyle w:val="FirstParagraph"/>
      </w:pPr>
      <w:r>
        <w:t xml:space="preserve">Why accept the passage?</w:t>
      </w:r>
    </w:p>
    <w:p>
      <w:pPr>
        <w:pStyle w:val="BodyText"/>
      </w:pPr>
      <w:r>
        <w:t xml:space="preserve">An instrument need not possess the principal agent’s power independently. The dependent act can therefore belong to the causal order of communication without constituting a competing source.</w:t>
      </w:r>
    </w:p>
    <w:p>
      <w:pPr>
        <w:pStyle w:val="BodyText"/>
      </w:pPr>
      <w:r>
        <w:t xml:space="preserve">What follows?</w:t>
      </w:r>
    </w:p>
    <w:p>
      <w:pPr>
        <w:pStyle w:val="BodyText"/>
      </w:pPr>
      <w:r>
        <w:t xml:space="preserve">Sacramental mediation can communicate real grace through created words and acts without partitioning divine life.</w:t>
      </w:r>
    </w:p>
    <w:p>
      <w:pPr>
        <w:pStyle w:val="BodyText"/>
      </w:pPr>
      <w:r>
        <w:t xml:space="preserve">Remaining burden: A purely expressive account can explain communal meaning without explaining conferred grace. The institution premise discriminates the Catholic account; generic causality cannot independently prove that premise.</w:t>
      </w:r>
    </w:p>
    <w:bookmarkEnd w:id="382"/>
    <w:bookmarkEnd w:id="383"/>
    <w:bookmarkStart w:id="384" w:name="Xace3beda8e19debd115b2f5a7e78d1245bd881b"/>
    <w:p>
      <w:pPr>
        <w:pStyle w:val="Heading2"/>
      </w:pPr>
      <w:r>
        <w:t xml:space="preserve">A gift can be objective while its reception remains personal</w:t>
      </w:r>
    </w:p>
    <w:p>
      <w:pPr>
        <w:pStyle w:val="FirstParagraph"/>
      </w:pPr>
      <w:r>
        <w:t xml:space="preserve">Status: Doctrinally received; philosophical distinction.</w:t>
      </w:r>
    </w:p>
    <w:p>
      <w:pPr>
        <w:pStyle w:val="BodyText"/>
      </w:pPr>
      <w:r>
        <w:t xml:space="preserve">The personal holiness of a minister is not the source of a sacrament’s efficacy. CCC 1127–1128 locates that efficacy in Christ’s saving action, traditionally described by ex opere operato. This does not mean that every ceremony is valid or that an unwilling recipient automatically receives every promised fruit. Matter, form, intention, minister, recipient, and the sacrament in question have their own relevant requirements. The doctrinal claim excludes dependence on the celebrant’s private moral excellence.</w:t>
      </w:r>
    </w:p>
    <w:p>
      <w:pPr>
        <w:pStyle w:val="BodyText"/>
      </w:pPr>
      <w:r>
        <w:t xml:space="preserve">Validity, the grace conferred, the recipient’s recognition, and mature personal fruitfulness must therefore be distinguished. Someone can receive a gift before understanding its full content, as infant Baptism makes particularly clear. Later understanding and cooperation matter to living it. Conversely, intense emotion cannot make an invalid rite valid. These distinctions prevent both subjectivism, in which feeling creates the sacrament, and ritual mechanism, in which personal conversion and charity become irrelevant.</w:t>
      </w:r>
    </w:p>
    <w:bookmarkEnd w:id="384"/>
    <w:bookmarkStart w:id="385" w:name="X735231736b98de883bf7976ee3d09c613b86f79"/>
    <w:p>
      <w:pPr>
        <w:pStyle w:val="Heading2"/>
      </w:pPr>
      <w:r>
        <w:t xml:space="preserve">The Eucharist requires its own account of presence</w:t>
      </w:r>
    </w:p>
    <w:p>
      <w:pPr>
        <w:pStyle w:val="FirstParagraph"/>
      </w:pPr>
      <w:r>
        <w:t xml:space="preserve">Status: Catholic doctrine received; philosophical articulation.</w:t>
      </w:r>
    </w:p>
    <w:p>
      <w:pPr>
        <w:pStyle w:val="BodyText"/>
      </w:pPr>
      <w:r>
        <w:t xml:space="preserve">CCC 1374–1377 teaches that the whole Christ is truly, really, and substantially present under the Eucharistic species. Transubstantiation names the conversion of the whole substance of bread and wine into Christ’s body and blood while the appearances remain. This is more specific than saying that the elements remind a congregation of Jesus or acquire a powerful communal meaning. The doctrine concerns what is present, not simply what worshippers experience.</w:t>
      </w:r>
    </w:p>
    <w:p>
      <w:pPr>
        <w:pStyle w:val="BodyText"/>
      </w:pPr>
      <w:r>
        <w:t xml:space="preserve">The distinction between substance and appearances performs definite work here: sensory and ordinary physical characteristics do not exhaust the claim about the reality present. That distinction needs philosophical articulation, but it is not a scientific prediction that a laboratory must find recognizable flesh. The warrant is Christ’s word received within apostolic and ecclesial faith. A reported Eucharistic miracle is a separate historical and causal claim; Catholic Eucharistic faith does not depend on authenticating each such report.</w:t>
      </w:r>
    </w:p>
    <w:p>
      <w:pPr>
        <w:pStyle w:val="BodyText"/>
      </w:pPr>
      <w:r>
        <w:t xml:space="preserve">Christ is present whole and entire under either species and their parts; breaking the host does not partition Christ. The Eucharistic sacrifice makes present the one sacrifice of Christ sacramentally rather than adding another Calvary. Adoration is directed to Christ, not to bread as an independent sacred object. These are determinate theological affirmations. General participation grammar helps prevent division and rivalry, but it cannot substitute for their particular doctrinal warrants.</w:t>
      </w:r>
    </w:p>
    <w:bookmarkEnd w:id="385"/>
    <w:bookmarkStart w:id="386" w:name="X601426518f6f7b79c993a500e6a0fe6b691e60a"/>
    <w:p>
      <w:pPr>
        <w:pStyle w:val="Heading2"/>
      </w:pPr>
      <w:r>
        <w:t xml:space="preserve">Common worship, Mary, and the communion of saints</w:t>
      </w:r>
    </w:p>
    <w:p>
      <w:pPr>
        <w:pStyle w:val="FirstParagraph"/>
      </w:pPr>
      <w:r>
        <w:t xml:space="preserve">Status: Doctrinally received; constructive integration.</w:t>
      </w:r>
    </w:p>
    <w:p>
      <w:pPr>
        <w:pStyle w:val="BodyText"/>
      </w:pPr>
      <w:r>
        <w:t xml:space="preserve">Liturgy is the worship of Christ and his body, offered to the Father in the Spirit. Scripture, song, silence, posture, material signs, and ordered ministry engage embodied people. The assembly’s responses are real acts, while the mystery celebrated is not produced by the assembly’s enthusiasm. CCC 1091–1109 presents the Spirit as preparing, recalling, making present, and bringing communion to fruit. The distinction between gift and response belongs within their common action.</w:t>
      </w:r>
    </w:p>
    <w:p>
      <w:pPr>
        <w:pStyle w:val="BodyText"/>
      </w:pPr>
      <w:r>
        <w:t xml:space="preserve">Mary belongs within this worship as Mother of the Lord, member and exemplary realization of the Church, and intercessor. CCC 970–971 safeguards dependence on Christ and the distinction between Marian veneration and divine adoration. The Rosary and other devotions can prepare for and extend liturgical life. They cannot replace the Eucharist or create rival requirements for access to God. Private apparitions likewise do not add a new public revelation or supersede the Church’s sacramental life.</w:t>
      </w:r>
    </w:p>
    <w:bookmarkEnd w:id="386"/>
    <w:bookmarkStart w:id="387" w:name="communion-must-become-truthful-service"/>
    <w:p>
      <w:pPr>
        <w:pStyle w:val="Heading2"/>
      </w:pPr>
      <w:r>
        <w:t xml:space="preserve">Communion must become truthful service</w:t>
      </w:r>
    </w:p>
    <w:p>
      <w:pPr>
        <w:pStyle w:val="FirstParagraph"/>
      </w:pPr>
      <w:r>
        <w:t xml:space="preserve">Status: Doctrinally received; moral and theological application.</w:t>
      </w:r>
    </w:p>
    <w:p>
      <w:pPr>
        <w:pStyle w:val="BodyText"/>
      </w:pPr>
      <w:r>
        <w:t xml:space="preserve">The Church’s gifts are ordered toward holy persons and communion in truth and charity. Distinct ministries serve one mission; the laity’s ordinary work, family life, learning, and public responsibilities belong to it. Sacramental worship does not make suffering neighbors peripheral. Reception is fruitful where the gift becomes repentance, fidelity, justice, and love. These are created achievements of persons assisted by grace, not additions that God needs in order to become good.</w:t>
      </w:r>
    </w:p>
    <w:p>
      <w:pPr>
        <w:pStyle w:val="BodyText"/>
      </w:pPr>
      <w:r>
        <w:t xml:space="preserve">Sin by Church members remains real sin. The distinction between Christ’s efficacy and a minister’s holiness protects recipients from making their access to grace depend on private virtue; it does not protect wrongdoing from investigation, judgment, or repair. Authority is accountable to the good it serves. A mature account must therefore preserve both the divine gift and the responsibility of those entrusted with it. Communion is fulfilled when people truly receive and live what the Church has been given to hand on.</w:t>
      </w:r>
    </w:p>
    <w:bookmarkEnd w:id="387"/>
    <w:bookmarkStart w:id="395" w:name="core-questions-and-answers-7"/>
    <w:p>
      <w:pPr>
        <w:pStyle w:val="Heading2"/>
      </w:pPr>
      <w:r>
        <w:t xml:space="preserve">Core questions and answers</w:t>
      </w:r>
    </w:p>
    <w:bookmarkStart w:id="388" w:name="X0c3cfddea2e6fb972951b64da8dc48f338d443e"/>
    <w:p>
      <w:pPr>
        <w:pStyle w:val="Heading3"/>
      </w:pPr>
      <w:r>
        <w:t xml:space="preserve">Why would God use a Church and sacraments if he can give grace directly?</w:t>
      </w:r>
    </w:p>
    <w:p>
      <w:pPr>
        <w:pStyle w:val="FirstParagraph"/>
      </w:pPr>
      <w:r>
        <w:t xml:space="preserve">God’s ability to act directly does not exclude a freely chosen economy of shared words, history, bodies, and acts. Human beings learn and live through such relations. In Catholic faith, Christ establishes particular forms of communal mediation through which he gives his life. Their value is that they really communicate and gather; they are not devices needed to overcome a divine inability to reach us.</w:t>
      </w:r>
    </w:p>
    <w:p>
      <w:pPr>
        <w:pStyle w:val="BodyText"/>
      </w:pPr>
      <w:r>
        <w:t xml:space="preserve">The explanation is conditional on that institution. It does not derive the seven sacraments from human social needs, and it does not place a created intermediary above God. God is not bound by his sacraments, while the Church is entrusted with celebrating them faithfully. Their determinate promises also protect faith from depending entirely on private feeling or extraordinary signs.</w:t>
      </w:r>
    </w:p>
    <w:bookmarkEnd w:id="388"/>
    <w:bookmarkStart w:id="389" w:name="freely-chosen-public-means"/>
    <w:p>
      <w:pPr>
        <w:pStyle w:val="Heading3"/>
      </w:pPr>
      <w:r>
        <w:t xml:space="preserve">Freely chosen public means</w:t>
      </w:r>
    </w:p>
    <w:p>
      <w:pPr>
        <w:pStyle w:val="FirstParagraph"/>
      </w:pPr>
      <w:r>
        <w:t xml:space="preserve">Theological premise with a philosophical account of mediation.</w:t>
      </w:r>
    </w:p>
    <w:p>
      <w:pPr>
        <w:pStyle w:val="BodyText"/>
      </w:pPr>
      <w:r>
        <w:t xml:space="preserve">Indispensable premises:</w:t>
      </w:r>
    </w:p>
    <w:p>
      <w:pPr>
        <w:pStyle w:val="Compact"/>
        <w:numPr>
          <w:ilvl w:val="0"/>
          <w:numId w:val="1080"/>
        </w:numPr>
      </w:pPr>
      <w:r>
        <w:t xml:space="preserve">A source able to act immediately may also communicate through dependent instruments.</w:t>
      </w:r>
    </w:p>
    <w:p>
      <w:pPr>
        <w:pStyle w:val="Compact"/>
        <w:numPr>
          <w:ilvl w:val="0"/>
          <w:numId w:val="1080"/>
        </w:numPr>
      </w:pPr>
      <w:r>
        <w:t xml:space="preserve">Christian revelation identifies particular communal and sacramental means chosen by Christ.</w:t>
      </w:r>
    </w:p>
    <w:p>
      <w:pPr>
        <w:pStyle w:val="FirstParagraph"/>
      </w:pPr>
      <w:r>
        <w:t xml:space="preserve">Why accept the passage?</w:t>
      </w:r>
    </w:p>
    <w:p>
      <w:pPr>
        <w:pStyle w:val="BodyText"/>
      </w:pPr>
      <w:r>
        <w:t xml:space="preserve">The ability to bypass a means does not make using it incoherent or valueless. Its role is specified by the freely established gift and relation.</w:t>
      </w:r>
    </w:p>
    <w:p>
      <w:pPr>
        <w:pStyle w:val="BodyText"/>
      </w:pPr>
      <w:r>
        <w:t xml:space="preserve">What follows?</w:t>
      </w:r>
    </w:p>
    <w:p>
      <w:pPr>
        <w:pStyle w:val="BodyText"/>
      </w:pPr>
      <w:r>
        <w:t xml:space="preserve">Sacramental mediation can be a positive form of communion rather than evidence of divine remoteness.</w:t>
      </w:r>
    </w:p>
    <w:p>
      <w:pPr>
        <w:pStyle w:val="BodyText"/>
      </w:pPr>
      <w:r>
        <w:t xml:space="preserve">Remaining burden: This argument explains the possible fittingness of instituted means; it does not independently verify their institution or exhaust God’s action outside their ordinary celebration.</w:t>
      </w:r>
    </w:p>
    <w:p>
      <w:pPr>
        <w:pStyle w:val="BodyText"/>
      </w:pPr>
      <w:hyperlink r:id="rId207">
        <w:r>
          <w:rPr>
            <w:rStyle w:val="Hyperlink"/>
          </w:rPr>
          <w:t xml:space="preserve">Grace and personal prayer</w:t>
        </w:r>
      </w:hyperlink>
      <w:r>
        <w:t xml:space="preserve"> </w:t>
      </w:r>
      <w:r>
        <w:t xml:space="preserve">·</w:t>
      </w:r>
      <w:r>
        <w:t xml:space="preserve"> </w:t>
      </w:r>
      <w:hyperlink r:id="rId190">
        <w:r>
          <w:rPr>
            <w:rStyle w:val="Hyperlink"/>
          </w:rPr>
          <w:t xml:space="preserve">The warrants of revelation</w:t>
        </w:r>
      </w:hyperlink>
    </w:p>
    <w:bookmarkEnd w:id="389"/>
    <w:bookmarkStart w:id="390" w:name="X148b07263d55f92bdb9e3e530a41484f6256561"/>
    <w:p>
      <w:pPr>
        <w:pStyle w:val="Heading3"/>
      </w:pPr>
      <w:r>
        <w:t xml:space="preserve">Does objective sacramental efficacy make sacraments a kind of magic?</w:t>
      </w:r>
    </w:p>
    <w:p>
      <w:pPr>
        <w:pStyle w:val="FirstParagraph"/>
      </w:pPr>
      <w:r>
        <w:t xml:space="preserve">No. Sacramental efficacy concerns Christ’s faithful action through an instituted sign; it is not a power possessed or controlled independently by a human performer. The minister’s holiness does not produce the gift, and arbitrary manipulation does not establish a sacrament. Catholic teaching also distinguishes valid celebration from the dispositions needed for fruitful reception.</w:t>
      </w:r>
    </w:p>
    <w:p>
      <w:pPr>
        <w:pStyle w:val="BodyText"/>
      </w:pPr>
      <w:r>
        <w:t xml:space="preserve">A genuinely conferred gift can therefore call for a genuinely free response. Baptism, repentance, Eucharistic communion, and mature charity have different requirements and cannot be reduced to one mechanical pattern. The theological claim that Christ acts must be warranted in its own right. Calling a rite psychologically meaningful explains less than Catholic doctrine claims, while calling it automatically effective without relevant conditions explains the doctrine inaccurately.</w:t>
      </w:r>
    </w:p>
    <w:bookmarkEnd w:id="390"/>
    <w:bookmarkStart w:id="392" w:name="promise-rather-than-autonomous-technique"/>
    <w:p>
      <w:pPr>
        <w:pStyle w:val="Heading3"/>
      </w:pPr>
      <w:r>
        <w:t xml:space="preserve">Promise rather than autonomous technique</w:t>
      </w:r>
    </w:p>
    <w:p>
      <w:pPr>
        <w:pStyle w:val="FirstParagraph"/>
      </w:pPr>
      <w:r>
        <w:t xml:space="preserve">Doctrinally received account of sacramental efficacy.</w:t>
      </w:r>
    </w:p>
    <w:p>
      <w:pPr>
        <w:pStyle w:val="BodyText"/>
      </w:pPr>
      <w:r>
        <w:t xml:space="preserve">Indispensable premises:</w:t>
      </w:r>
    </w:p>
    <w:p>
      <w:pPr>
        <w:pStyle w:val="Compact"/>
        <w:numPr>
          <w:ilvl w:val="0"/>
          <w:numId w:val="1081"/>
        </w:numPr>
      </w:pPr>
      <w:r>
        <w:t xml:space="preserve">The efficacy belongs to Christ’s saving action through validly instituted and celebrated signs.</w:t>
      </w:r>
    </w:p>
    <w:p>
      <w:pPr>
        <w:pStyle w:val="Compact"/>
        <w:numPr>
          <w:ilvl w:val="0"/>
          <w:numId w:val="1081"/>
        </w:numPr>
      </w:pPr>
      <w:r>
        <w:t xml:space="preserve">The recipient’s appropriate dispositions matter to the sacrament’s fruits.</w:t>
      </w:r>
    </w:p>
    <w:p>
      <w:pPr>
        <w:pStyle w:val="FirstParagraph"/>
      </w:pPr>
      <w:r>
        <w:t xml:space="preserve">Why accept the passage?</w:t>
      </w:r>
    </w:p>
    <w:p>
      <w:pPr>
        <w:pStyle w:val="BodyText"/>
      </w:pPr>
      <w:r>
        <w:t xml:space="preserve">An effect dependent on the principal giver’s instituted promise is not an independently controlled ritual power. Distinguishing conferral from personal appropriation preserves objective giving and responsible reception.</w:t>
      </w:r>
    </w:p>
    <w:p>
      <w:pPr>
        <w:pStyle w:val="BodyText"/>
      </w:pPr>
      <w:r>
        <w:t xml:space="preserve">What follows?</w:t>
      </w:r>
    </w:p>
    <w:p>
      <w:pPr>
        <w:pStyle w:val="BodyText"/>
      </w:pPr>
      <w:r>
        <w:t xml:space="preserve">Objective efficacy and personal conversion can belong together.</w:t>
      </w:r>
    </w:p>
    <w:p>
      <w:pPr>
        <w:pStyle w:val="BodyText"/>
      </w:pPr>
      <w:r>
        <w:t xml:space="preserve">Remaining burden: The exact conditions vary among sacraments. This account does not establish the validity or fruitfulness of an unspecified ceremony.</w:t>
      </w:r>
    </w:p>
    <w:p>
      <w:pPr>
        <w:pStyle w:val="BodyText"/>
      </w:pPr>
      <w:hyperlink r:id="rId391">
        <w:r>
          <w:rPr>
            <w:rStyle w:val="Hyperlink"/>
          </w:rPr>
          <w:t xml:space="preserve">Grace and cooperation</w:t>
        </w:r>
      </w:hyperlink>
      <w:r>
        <w:t xml:space="preserve"> </w:t>
      </w:r>
      <w:r>
        <w:t xml:space="preserve">·</w:t>
      </w:r>
      <w:r>
        <w:t xml:space="preserve"> </w:t>
      </w:r>
      <w:hyperlink r:id="rId162">
        <w:r>
          <w:rPr>
            <w:rStyle w:val="Hyperlink"/>
          </w:rPr>
          <w:t xml:space="preserve">Genuine secondary action</w:t>
        </w:r>
      </w:hyperlink>
    </w:p>
    <w:bookmarkEnd w:id="392"/>
    <w:bookmarkStart w:id="393" w:name="Xbce87a862ea920de0869a166ae0b2850ceedb43"/>
    <w:p>
      <w:pPr>
        <w:pStyle w:val="Heading3"/>
      </w:pPr>
      <w:r>
        <w:t xml:space="preserve">If the Eucharist looks unchanged, what warrants saying that Christ is present?</w:t>
      </w:r>
    </w:p>
    <w:p>
      <w:pPr>
        <w:pStyle w:val="FirstParagraph"/>
      </w:pPr>
      <w:r>
        <w:t xml:space="preserve">The Catholic warrant is Christ’s institution and word, interpreted in the Church’s apostolic faith, not a change that must appear to the senses. The claim distinguishes the reality substantially present from the appearances under which it is given. An unchanged sensory appearance therefore does not contradict the particular claim, although it also cannot independently demonstrate it.</w:t>
      </w:r>
    </w:p>
    <w:p>
      <w:pPr>
        <w:pStyle w:val="BodyText"/>
      </w:pPr>
      <w:r>
        <w:t xml:space="preserve">This distinction is explanatory only with its theological premise openly stated. It must not become a device for declaring any invisible claim true. Questions about the historical and ecclesial warrant for Eucharistic faith remain legitimate. Reported visible Eucharistic miracles require a separate inquiry into occurrence, causation, significance, and attestation; their acceptance is not the basis of the ordinary sacramental promise.</w:t>
      </w:r>
    </w:p>
    <w:bookmarkEnd w:id="393"/>
    <w:bookmarkStart w:id="394" w:name="presence-distinguished-from-appearance"/>
    <w:p>
      <w:pPr>
        <w:pStyle w:val="Heading3"/>
      </w:pPr>
      <w:r>
        <w:t xml:space="preserve">Presence distinguished from appearance</w:t>
      </w:r>
    </w:p>
    <w:p>
      <w:pPr>
        <w:pStyle w:val="FirstParagraph"/>
      </w:pPr>
      <w:r>
        <w:t xml:space="preserve">Catholic doctrine with a bounded epistemic account.</w:t>
      </w:r>
    </w:p>
    <w:p>
      <w:pPr>
        <w:pStyle w:val="BodyText"/>
      </w:pPr>
      <w:r>
        <w:t xml:space="preserve">Indispensable premises:</w:t>
      </w:r>
    </w:p>
    <w:p>
      <w:pPr>
        <w:pStyle w:val="Compact"/>
        <w:numPr>
          <w:ilvl w:val="0"/>
          <w:numId w:val="1082"/>
        </w:numPr>
      </w:pPr>
      <w:r>
        <w:t xml:space="preserve">A thing’s sensible appearance and its substantial identity are distinguishable in the doctrinal claim.</w:t>
      </w:r>
    </w:p>
    <w:p>
      <w:pPr>
        <w:pStyle w:val="Compact"/>
        <w:numPr>
          <w:ilvl w:val="0"/>
          <w:numId w:val="1082"/>
        </w:numPr>
      </w:pPr>
      <w:r>
        <w:t xml:space="preserve">Catholic faith receives Christ’s efficacious institution as warrant for the Eucharistic conversion.</w:t>
      </w:r>
    </w:p>
    <w:p>
      <w:pPr>
        <w:pStyle w:val="FirstParagraph"/>
      </w:pPr>
      <w:r>
        <w:t xml:space="preserve">Why accept the passage?</w:t>
      </w:r>
    </w:p>
    <w:p>
      <w:pPr>
        <w:pStyle w:val="BodyText"/>
      </w:pPr>
      <w:r>
        <w:t xml:space="preserve">If the promised conversion concerns substance while appearances remain, the absence of a visible change does not falsify that promise. Positive warrant comes from the prior theological grounds, not from invisibility itself.</w:t>
      </w:r>
    </w:p>
    <w:p>
      <w:pPr>
        <w:pStyle w:val="BodyText"/>
      </w:pPr>
      <w:r>
        <w:t xml:space="preserve">What follows?</w:t>
      </w:r>
    </w:p>
    <w:p>
      <w:pPr>
        <w:pStyle w:val="BodyText"/>
      </w:pPr>
      <w:r>
        <w:t xml:space="preserve">Eucharistic presence can be affirmed without demanding a perceptible anomaly or reducing presence to communal recognition.</w:t>
      </w:r>
    </w:p>
    <w:p>
      <w:pPr>
        <w:pStyle w:val="BodyText"/>
      </w:pPr>
      <w:r>
        <w:t xml:space="preserve">Remaining burden: The bridge does not prove the theological premise to someone who rejects it; historical testimony and doctrinal authority require their own assessment.</w:t>
      </w:r>
    </w:p>
    <w:p>
      <w:pPr>
        <w:pStyle w:val="BodyText"/>
      </w:pPr>
      <w:hyperlink r:id="rId190">
        <w:r>
          <w:rPr>
            <w:rStyle w:val="Hyperlink"/>
          </w:rPr>
          <w:t xml:space="preserve">Revelation, testimony, and warranted belief</w:t>
        </w:r>
      </w:hyperlink>
      <w:r>
        <w:t xml:space="preserve"> </w:t>
      </w:r>
      <w:r>
        <w:t xml:space="preserve">·</w:t>
      </w:r>
      <w:r>
        <w:t xml:space="preserve"> </w:t>
      </w:r>
      <w:hyperlink r:id="rId211">
        <w:r>
          <w:rPr>
            <w:rStyle w:val="Hyperlink"/>
          </w:rPr>
          <w:t xml:space="preserve">Miracles and providence</w:t>
        </w:r>
      </w:hyperlink>
    </w:p>
    <w:bookmarkEnd w:id="394"/>
    <w:bookmarkEnd w:id="395"/>
    <w:bookmarkStart w:id="402" w:name="sources-and-precise-use-7"/>
    <w:p>
      <w:pPr>
        <w:pStyle w:val="Heading2"/>
      </w:pPr>
      <w:r>
        <w:t xml:space="preserve">Sources and precise use</w:t>
      </w:r>
    </w:p>
    <w:bookmarkStart w:id="396" w:name="second-vatican-council-dei-verbum-3"/>
    <w:p>
      <w:pPr>
        <w:pStyle w:val="Heading3"/>
      </w:pPr>
      <w:r>
        <w:t xml:space="preserve">Second Vatican Council: Dei Verbum</w:t>
      </w:r>
    </w:p>
    <w:p>
      <w:pPr>
        <w:pStyle w:val="FirstParagraph"/>
      </w:pPr>
      <w:r>
        <w:t xml:space="preserve">Locus: 7–12; 21–25.</w:t>
      </w:r>
    </w:p>
    <w:p>
      <w:pPr>
        <w:pStyle w:val="BodyText"/>
      </w:pPr>
      <w:r>
        <w:t xml:space="preserve">Status: Supplied primary text: selected passages consulted.</w:t>
      </w:r>
    </w:p>
    <w:p>
      <w:pPr>
        <w:pStyle w:val="BodyText"/>
      </w:pPr>
      <w:r>
        <w:t xml:space="preserve">Contribution: Apostolic transmission, Scripture and Tradition, the Magisterium serving the word, human authorship, disciplined interpretation, and prayerful reading.</w:t>
      </w:r>
    </w:p>
    <w:p>
      <w:pPr>
        <w:pStyle w:val="BodyText"/>
      </w:pPr>
      <w:r>
        <w:t xml:space="preserve">Limit: The philosophical distinctions here are a constructive articulation; the council does not endorse the atlas as a complete metaphysical school.</w:t>
      </w:r>
    </w:p>
    <w:p>
      <w:pPr>
        <w:pStyle w:val="BodyText"/>
      </w:pPr>
      <w:r>
        <w:t xml:space="preserve">Source/provenance: https://www.vatican.va/archive/hist_councils/ii_vatican_council/documents/vat-ii_const_19651118_dei-verbum_en.html</w:t>
      </w:r>
    </w:p>
    <w:bookmarkEnd w:id="396"/>
    <w:bookmarkStart w:id="397" w:name="X36dc64741fc5427189119ea313e1964e85789d8"/>
    <w:p>
      <w:pPr>
        <w:pStyle w:val="Heading3"/>
      </w:pPr>
      <w:r>
        <w:t xml:space="preserve">Catholic Church: Catechism of the Catholic Church, second edition</w:t>
      </w:r>
    </w:p>
    <w:p>
      <w:pPr>
        <w:pStyle w:val="FirstParagraph"/>
      </w:pPr>
      <w:r>
        <w:t xml:space="preserve">Locus: 888–892; 1091–1109; 1113–1131.</w:t>
      </w:r>
    </w:p>
    <w:p>
      <w:pPr>
        <w:pStyle w:val="BodyText"/>
      </w:pPr>
      <w:r>
        <w:t xml:space="preserve">Status: Supplied primary text: selected passages consulted.</w:t>
      </w:r>
    </w:p>
    <w:p>
      <w:pPr>
        <w:pStyle w:val="BodyText"/>
      </w:pPr>
      <w:r>
        <w:t xml:space="preserve">Contribution: Forms of teaching authority, the Holy Spirit’s action in liturgy, sacramental institution and efficacy, and the distinction between ministerial holiness and fruitful reception.</w:t>
      </w:r>
    </w:p>
    <w:p>
      <w:pPr>
        <w:pStyle w:val="BodyText"/>
      </w:pPr>
      <w:r>
        <w:t xml:space="preserve">Limit: Applying these descriptions to a concrete disputed pronouncement or rite requires further attention to its actual conditions.</w:t>
      </w:r>
    </w:p>
    <w:p>
      <w:pPr>
        <w:pStyle w:val="BodyText"/>
      </w:pPr>
      <w:r>
        <w:t xml:space="preserve">Source/provenance: https://www.vatican.va/content/catechism/en.html</w:t>
      </w:r>
    </w:p>
    <w:bookmarkEnd w:id="397"/>
    <w:bookmarkStart w:id="398" w:name="Xe4343960902154e64dbcb5145aaafd514161046"/>
    <w:p>
      <w:pPr>
        <w:pStyle w:val="Heading3"/>
      </w:pPr>
      <w:r>
        <w:t xml:space="preserve">Catholic Church: Catechism of the Catholic Church, second edition</w:t>
      </w:r>
    </w:p>
    <w:p>
      <w:pPr>
        <w:pStyle w:val="FirstParagraph"/>
      </w:pPr>
      <w:r>
        <w:t xml:space="preserve">Locus: 1367–1377.</w:t>
      </w:r>
    </w:p>
    <w:p>
      <w:pPr>
        <w:pStyle w:val="BodyText"/>
      </w:pPr>
      <w:r>
        <w:t xml:space="preserve">Status: Supplied primary text: selected passages consulted.</w:t>
      </w:r>
    </w:p>
    <w:p>
      <w:pPr>
        <w:pStyle w:val="BodyText"/>
      </w:pPr>
      <w:r>
        <w:t xml:space="preserve">Contribution: The Eucharist’s relation to Christ’s one sacrifice, substantial presence, transubstantiation, and presence without division.</w:t>
      </w:r>
    </w:p>
    <w:p>
      <w:pPr>
        <w:pStyle w:val="BodyText"/>
      </w:pPr>
      <w:r>
        <w:t xml:space="preserve">Limit: The doctrine is received on theological warrant; no fresh empirical assessment of a reported Eucharistic miracle is supplied.</w:t>
      </w:r>
    </w:p>
    <w:p>
      <w:pPr>
        <w:pStyle w:val="BodyText"/>
      </w:pPr>
      <w:r>
        <w:t xml:space="preserve">Source/provenance: https://www.vatican.va/content/catechism/en.html</w:t>
      </w:r>
    </w:p>
    <w:bookmarkEnd w:id="398"/>
    <w:bookmarkStart w:id="399" w:name="Xd4a671ab0206132254ae13de543deded4f02364"/>
    <w:p>
      <w:pPr>
        <w:pStyle w:val="Heading3"/>
      </w:pPr>
      <w:r>
        <w:t xml:space="preserve">Catholic Church: Catechism of the Catholic Church, second edition</w:t>
      </w:r>
    </w:p>
    <w:p>
      <w:pPr>
        <w:pStyle w:val="FirstParagraph"/>
      </w:pPr>
      <w:r>
        <w:t xml:space="preserve">Locus: 963–972; 1674–1676.</w:t>
      </w:r>
    </w:p>
    <w:p>
      <w:pPr>
        <w:pStyle w:val="BodyText"/>
      </w:pPr>
      <w:r>
        <w:t xml:space="preserve">Status: Supplied primary text: selected passages consulted.</w:t>
      </w:r>
    </w:p>
    <w:p>
      <w:pPr>
        <w:pStyle w:val="BodyText"/>
      </w:pPr>
      <w:r>
        <w:t xml:space="preserve">Contribution: Mary’s ecclesial significance and dependent intercession, the distinction between veneration and adoration, and devotion’s relation to liturgy.</w:t>
      </w:r>
    </w:p>
    <w:p>
      <w:pPr>
        <w:pStyle w:val="BodyText"/>
      </w:pPr>
      <w:r>
        <w:t xml:space="preserve">Limit: Popular devotion and a particular apparition require their own discernment; neither replaces the liturgy or public revelation.</w:t>
      </w:r>
    </w:p>
    <w:p>
      <w:pPr>
        <w:pStyle w:val="BodyText"/>
      </w:pPr>
      <w:r>
        <w:t xml:space="preserve">Source/provenance: https://www.vatican.va/content/catechism/en.html</w:t>
      </w:r>
    </w:p>
    <w:bookmarkEnd w:id="399"/>
    <w:bookmarkStart w:id="400" w:name="X2840fc95ec09e842f696505807f8aa6adcd9924"/>
    <w:p>
      <w:pPr>
        <w:pStyle w:val="Heading3"/>
      </w:pPr>
      <w:r>
        <w:t xml:space="preserve">User-supplied project manuscript: Being-First and Measured Manifestation: Definitive Synthetic Edition</w:t>
      </w:r>
    </w:p>
    <w:p>
      <w:pPr>
        <w:pStyle w:val="FirstParagraph"/>
      </w:pPr>
      <w:r>
        <w:t xml:space="preserve">Locus: Chapters 25 and 28.</w:t>
      </w:r>
    </w:p>
    <w:p>
      <w:pPr>
        <w:pStyle w:val="BodyText"/>
      </w:pPr>
      <w:r>
        <w:t xml:space="preserve">Status: Supplied constructive manuscript: selected passages consulted.</w:t>
      </w:r>
    </w:p>
    <w:p>
      <w:pPr>
        <w:pStyle w:val="BodyText"/>
      </w:pPr>
      <w:r>
        <w:t xml:space="preserve">Contribution: The change of warrant at revelation, efficacious mediation, and the distinction between objective reception, recognition, and appropriation.</w:t>
      </w:r>
    </w:p>
    <w:p>
      <w:pPr>
        <w:pStyle w:val="BodyText"/>
      </w:pPr>
      <w:r>
        <w:t xml:space="preserve">Limit: The proposed architecture clarifies theological claims without independently proving their historical institution.</w:t>
      </w:r>
    </w:p>
    <w:p>
      <w:pPr>
        <w:pStyle w:val="BodyText"/>
      </w:pPr>
      <w:r>
        <w:t xml:space="preserve">Source/provenance: https://participation-6o4.pages.dev/church-and-sacrament/#sacramental-action</w:t>
      </w:r>
    </w:p>
    <w:bookmarkEnd w:id="400"/>
    <w:bookmarkStart w:id="401" w:name="X8efb0eb2e6d7668ceba9ed5255b988baf65e579"/>
    <w:p>
      <w:pPr>
        <w:pStyle w:val="Heading3"/>
      </w:pPr>
      <w:r>
        <w:t xml:space="preserve">John Henry Newman: An Essay on the Development of Christian Doctrine</w:t>
      </w:r>
    </w:p>
    <w:p>
      <w:pPr>
        <w:pStyle w:val="FirstParagraph"/>
      </w:pPr>
      <w:r>
        <w:t xml:space="preserve">Locus: Chapter V; the project’s existing source audit.</w:t>
      </w:r>
    </w:p>
    <w:p>
      <w:pPr>
        <w:pStyle w:val="BodyText"/>
      </w:pPr>
      <w:r>
        <w:t xml:space="preserve">Status: Inherited consultation: the existing research audit records inspected chapter-V passages.</w:t>
      </w:r>
    </w:p>
    <w:p>
      <w:pPr>
        <w:pStyle w:val="BodyText"/>
      </w:pPr>
      <w:r>
        <w:t xml:space="preserve">Contribution: The project’s analogical development criteria of preserved type, continuity, conservative action, and fruitfulness.</w:t>
      </w:r>
    </w:p>
    <w:p>
      <w:pPr>
        <w:pStyle w:val="BodyText"/>
      </w:pPr>
      <w:r>
        <w:t xml:space="preserve">Limit: This page relies on the prior recorded consultation, not a fresh retrieval. Passing an analogical test does not confer ecclesial authority or establish long-term historical endurance.</w:t>
      </w:r>
    </w:p>
    <w:p>
      <w:pPr>
        <w:pStyle w:val="BodyText"/>
      </w:pPr>
      <w:r>
        <w:t xml:space="preserve">Source/provenance: https://participation-6o4.pages.dev/research/aquinas-scotus-newman.md</w:t>
      </w:r>
    </w:p>
    <w:bookmarkEnd w:id="401"/>
    <w:bookmarkEnd w:id="402"/>
    <w:bookmarkStart w:id="403" w:name="where-this-argument-matters-7"/>
    <w:p>
      <w:pPr>
        <w:pStyle w:val="Heading2"/>
      </w:pPr>
      <w:r>
        <w:t xml:space="preserve">Where this argument matters</w:t>
      </w:r>
    </w:p>
    <w:p>
      <w:pPr>
        <w:pStyle w:val="Compact"/>
        <w:numPr>
          <w:ilvl w:val="0"/>
          <w:numId w:val="1083"/>
        </w:numPr>
      </w:pPr>
      <w:hyperlink r:id="rId207">
        <w:r>
          <w:rPr>
            <w:rStyle w:val="Hyperlink"/>
          </w:rPr>
          <w:t xml:space="preserve">Grace, Prayer, and Deification</w:t>
        </w:r>
      </w:hyperlink>
      <w:r>
        <w:t xml:space="preserve">: The sacraments communicate the life that becomes personal prayer, charity, and cooperation.</w:t>
      </w:r>
    </w:p>
    <w:p>
      <w:pPr>
        <w:pStyle w:val="Compact"/>
        <w:numPr>
          <w:ilvl w:val="0"/>
          <w:numId w:val="1083"/>
        </w:numPr>
      </w:pPr>
      <w:hyperlink r:id="rId211">
        <w:r>
          <w:rPr>
            <w:rStyle w:val="Hyperlink"/>
          </w:rPr>
          <w:t xml:space="preserve">Providence, Evil, and History</w:t>
        </w:r>
      </w:hyperlink>
      <w:r>
        <w:t xml:space="preserve">: Institutional sin, suffering, and miracle reports require causal, moral, and evidential distinctions.</w:t>
      </w:r>
    </w:p>
    <w:p>
      <w:pPr>
        <w:pStyle w:val="Compact"/>
        <w:numPr>
          <w:ilvl w:val="0"/>
          <w:numId w:val="1083"/>
        </w:numPr>
      </w:pPr>
      <w:hyperlink r:id="rId214">
        <w:r>
          <w:rPr>
            <w:rStyle w:val="Hyperlink"/>
          </w:rPr>
          <w:t xml:space="preserve">Resurrection, Beatitude, and God All in All</w:t>
        </w:r>
      </w:hyperlink>
      <w:r>
        <w:t xml:space="preserve">: Liturgy anticipates communion fulfilled in Christ while preserving created persons and their embodied life.</w:t>
      </w:r>
    </w:p>
    <w:p>
      <w:r>
        <w:pict>
          <v:rect style="width:0;height:1.5pt" o:hralign="center" o:hrstd="t" o:hr="t"/>
        </w:pict>
      </w:r>
    </w:p>
    <w:bookmarkEnd w:id="403"/>
    <w:bookmarkEnd w:id="404"/>
    <w:bookmarkStart w:id="430" w:name="providence-evil-and-history"/>
    <w:p>
      <w:pPr>
        <w:pStyle w:val="Heading1"/>
      </w:pPr>
      <w:r>
        <w:t xml:space="preserve">12. Providence, Evil, and History</w:t>
      </w:r>
    </w:p>
    <w:p>
      <w:pPr>
        <w:pStyle w:val="FirstParagraph"/>
      </w:pPr>
      <w:r>
        <w:t xml:space="preserve">How can all created actuality depend on God while creatures remain responsible agents and evil is neither a divine perfection nor a necessary contribution to God’s fullness?</w:t>
      </w:r>
    </w:p>
    <w:p>
      <w:pPr>
        <w:pStyle w:val="BodyText"/>
      </w:pPr>
      <w:r>
        <w:t xml:space="preserve">Providence concerns more than the world’s dependence for existence. It adds intelligent care and direction toward good. Catholic theology receives that claim through the God disclosed in Christ; natural metaphysics must establish intellect, goodness, and purpose through further arguments. Neither bare sourcehood nor the fact that something occurred shows that God positively intended it in every respect.</w:t>
      </w:r>
    </w:p>
    <w:p>
      <w:pPr>
        <w:pStyle w:val="BodyText"/>
      </w:pPr>
      <w:r>
        <w:t xml:space="preserve">The constructive task is to distinguish support, creaturely exercise, intention, permission, judgment, and redemption. This allows genuine dependence without erasing responsibility. It also sharpens the problem of evil: showing how a wrong act is possible is not yet explaining why a good God permits this wrong or this suffering. A strong account must preserve the positive grammar of providence while admitting where its particular reasons remain unknown.</w:t>
      </w:r>
    </w:p>
    <w:bookmarkStart w:id="405" w:name="what-this-page-uses-8"/>
    <w:p>
      <w:pPr>
        <w:pStyle w:val="Heading2"/>
      </w:pPr>
      <w:r>
        <w:t xml:space="preserve">What this page uses</w:t>
      </w:r>
    </w:p>
    <w:p>
      <w:pPr>
        <w:pStyle w:val="Compact"/>
        <w:numPr>
          <w:ilvl w:val="0"/>
          <w:numId w:val="1084"/>
        </w:numPr>
      </w:pPr>
      <w:hyperlink r:id="rId162">
        <w:r>
          <w:rPr>
            <w:rStyle w:val="Hyperlink"/>
          </w:rPr>
          <w:t xml:space="preserve">Divine Agency</w:t>
        </w:r>
      </w:hyperlink>
      <w:r>
        <w:t xml:space="preserve">: Free intention, efficacy, contingent knowledge, and the creature’s own exercise remain distinct explanatory tasks.</w:t>
      </w:r>
    </w:p>
    <w:p>
      <w:pPr>
        <w:pStyle w:val="Compact"/>
        <w:numPr>
          <w:ilvl w:val="0"/>
          <w:numId w:val="1084"/>
        </w:numPr>
      </w:pPr>
      <w:hyperlink r:id="rId325">
        <w:r>
          <w:rPr>
            <w:rStyle w:val="Hyperlink"/>
          </w:rPr>
          <w:t xml:space="preserve">Goodness and Fulfillment</w:t>
        </w:r>
      </w:hyperlink>
      <w:r>
        <w:t xml:space="preserve">: Evil is assessed against appropriate goods rather than identified with finitude, dependence, or pain without qualification.</w:t>
      </w:r>
    </w:p>
    <w:p>
      <w:pPr>
        <w:pStyle w:val="Compact"/>
        <w:numPr>
          <w:ilvl w:val="0"/>
          <w:numId w:val="1084"/>
        </w:numPr>
      </w:pPr>
      <w:hyperlink r:id="rId210">
        <w:r>
          <w:rPr>
            <w:rStyle w:val="Hyperlink"/>
          </w:rPr>
          <w:t xml:space="preserve">Manifestation and Revelation</w:t>
        </w:r>
      </w:hyperlink>
      <w:r>
        <w:t xml:space="preserve">: Evidence for an extraordinary event and its theological meaning requires the six separate judgments of miracle inquiry.</w:t>
      </w:r>
    </w:p>
    <w:bookmarkEnd w:id="405"/>
    <w:bookmarkStart w:id="406" w:name="what-it-undertakes-to-establish-8"/>
    <w:p>
      <w:pPr>
        <w:pStyle w:val="Heading2"/>
      </w:pPr>
      <w:r>
        <w:t xml:space="preserve">What it undertakes to establish</w:t>
      </w:r>
    </w:p>
    <w:p>
      <w:pPr>
        <w:pStyle w:val="Compact"/>
        <w:numPr>
          <w:ilvl w:val="0"/>
          <w:numId w:val="1085"/>
        </w:numPr>
      </w:pPr>
      <w:r>
        <w:t xml:space="preserve">Giving and sustaining a power need not replace the creature as the subject exercising it.</w:t>
      </w:r>
    </w:p>
    <w:p>
      <w:pPr>
        <w:pStyle w:val="Compact"/>
        <w:numPr>
          <w:ilvl w:val="0"/>
          <w:numId w:val="1085"/>
        </w:numPr>
      </w:pPr>
      <w:r>
        <w:t xml:space="preserve">Conservation, concurrence, intention, permission, and moral fault require distinct explanations.</w:t>
      </w:r>
    </w:p>
    <w:p>
      <w:pPr>
        <w:pStyle w:val="Compact"/>
        <w:numPr>
          <w:ilvl w:val="0"/>
          <w:numId w:val="1085"/>
        </w:numPr>
      </w:pPr>
      <w:r>
        <w:t xml:space="preserve">Privation identifies the ontological character of evil without supplying a complete justification of particular permissions.</w:t>
      </w:r>
    </w:p>
    <w:p>
      <w:pPr>
        <w:pStyle w:val="Compact"/>
        <w:numPr>
          <w:ilvl w:val="0"/>
          <w:numId w:val="1085"/>
        </w:numPr>
      </w:pPr>
      <w:r>
        <w:t xml:space="preserve">Prayer and extraordinary divine action can belong within providence without making healing a measure of a sufferer’s faith.</w:t>
      </w:r>
    </w:p>
    <w:bookmarkEnd w:id="406"/>
    <w:bookmarkStart w:id="407" w:name="Xb91c6e6f6638b07c8e6d0c38884f4e7d1e100f1"/>
    <w:p>
      <w:pPr>
        <w:pStyle w:val="Heading2"/>
      </w:pPr>
      <w:r>
        <w:t xml:space="preserve">From a source of existence to provident care</w:t>
      </w:r>
    </w:p>
    <w:p>
      <w:pPr>
        <w:pStyle w:val="FirstParagraph"/>
      </w:pPr>
      <w:r>
        <w:t xml:space="preserve">Status: Doctrinally received, with conditional philosophical bridges.</w:t>
      </w:r>
    </w:p>
    <w:p>
      <w:pPr>
        <w:pStyle w:val="BodyText"/>
      </w:pPr>
      <w:r>
        <w:t xml:space="preserve">A cause can sustain a process without knowing or valuing its outcome. The step from universal dependence to providence therefore requires positive premises: the source knows creatures, wills their good, and can order their histories without needing them for its completion. Each premise has an argument elsewhere in the atlas. Their conjunction yields a definite thesis: the source’s activity is intelligible as care for realities genuinely other than itself. Mere inexhaustibility would not establish that thesis, since an inexhaustible impersonal source could still produce without intention.</w:t>
      </w:r>
    </w:p>
    <w:p>
      <w:pPr>
        <w:pStyle w:val="BodyText"/>
      </w:pPr>
      <w:r>
        <w:t xml:space="preserve">The Catechism §§302–305 receives divine providence as God’s wise and loving governance of a creation still on its way to fulfillment. The creature’s history matters because its goods are real and can actually be attained or frustrated. To be sustained is not already to be fulfilled. A child can be alive yet neglected; an institution can endure while becoming unjust. Provident direction must therefore be evaluated through goodness, freedom, and the promised end, not reduced to persistence. Within Christian theology the claim of care takes its deepest warrant from Christ, rather than from a presumption that every visible outcome is transparently beneficial.</w:t>
      </w:r>
    </w:p>
    <w:bookmarkEnd w:id="407"/>
    <w:bookmarkStart w:id="409" w:name="god-gives-causes-the-dignity-of-acting"/>
    <w:p>
      <w:pPr>
        <w:pStyle w:val="Heading2"/>
      </w:pPr>
      <w:r>
        <w:t xml:space="preserve">God gives causes the dignity of acting</w:t>
      </w:r>
    </w:p>
    <w:p>
      <w:pPr>
        <w:pStyle w:val="FirstParagraph"/>
      </w:pPr>
      <w:r>
        <w:t xml:space="preserve">Status: Conditional philosophical argument and Catholic doctrine.</w:t>
      </w:r>
    </w:p>
    <w:p>
      <w:pPr>
        <w:pStyle w:val="BodyText"/>
      </w:pPr>
      <w:r>
        <w:t xml:space="preserve">Conservation concerns a creature’s continuing existence. Concurrence concerns divine operation with created causes in their exercise. A particular creaturely action concerns what this subject does through its own powers under actual circumstances. These distinctions allow one action to have explanations at different levels. A surgeon’s skill, instruments, judgment, and intention genuinely explain an operation; their received existence does not make that explanation unreal. Treating God’s support as a competing surgical intervention would confuse the relevant causal respects.</w:t>
      </w:r>
    </w:p>
    <w:p>
      <w:pPr>
        <w:pStyle w:val="BodyText"/>
      </w:pPr>
      <w:r>
        <w:t xml:space="preserve">The Catechism §§306–308 calls creatures genuine causes and gives human beings the dignity of freely cooperating. This rules out the inference that dependence alone reduces them to appearances of divine action. A positive account must still show that the creature contributes the relevant power and exercise. Occasionalism denies that contribution while retaining dependence; participation does not refute it by definition. The bridge is that a received power can belong to a real subject and operate according to that subject’s nature. Supported agency requires an account of exercise as well as possession.</w:t>
      </w:r>
    </w:p>
    <w:bookmarkStart w:id="408" w:name="X206364e2d2a9d953815841999d431184dca03dc"/>
    <w:p>
      <w:pPr>
        <w:pStyle w:val="Heading3"/>
      </w:pPr>
      <w:r>
        <w:t xml:space="preserve">Received power can become a creature’s own exercise</w:t>
      </w:r>
    </w:p>
    <w:p>
      <w:pPr>
        <w:pStyle w:val="FirstParagraph"/>
      </w:pPr>
      <w:r>
        <w:t xml:space="preserve">A conditional account of secondary causality, distinguishing ontological support from replacement of an agent.</w:t>
      </w:r>
    </w:p>
    <w:p>
      <w:pPr>
        <w:pStyle w:val="BodyText"/>
      </w:pPr>
      <w:r>
        <w:t xml:space="preserve">Indispensable premises:</w:t>
      </w:r>
    </w:p>
    <w:p>
      <w:pPr>
        <w:pStyle w:val="Compact"/>
        <w:numPr>
          <w:ilvl w:val="0"/>
          <w:numId w:val="1086"/>
        </w:numPr>
      </w:pPr>
      <w:r>
        <w:t xml:space="preserve">The creature is a real subject with determinate powers.</w:t>
      </w:r>
    </w:p>
    <w:p>
      <w:pPr>
        <w:pStyle w:val="Compact"/>
        <w:numPr>
          <w:ilvl w:val="0"/>
          <w:numId w:val="1086"/>
        </w:numPr>
      </w:pPr>
      <w:r>
        <w:t xml:space="preserve">The relevant judgment, intention, and exercise belong to that subject.</w:t>
      </w:r>
    </w:p>
    <w:p>
      <w:pPr>
        <w:pStyle w:val="Compact"/>
        <w:numPr>
          <w:ilvl w:val="0"/>
          <w:numId w:val="1086"/>
        </w:numPr>
      </w:pPr>
      <w:r>
        <w:t xml:space="preserve">Divine support causes those powers and their exercise without substituting another created subject for it.</w:t>
      </w:r>
    </w:p>
    <w:p>
      <w:pPr>
        <w:pStyle w:val="FirstParagraph"/>
      </w:pPr>
      <w:r>
        <w:t xml:space="preserve">Why accept the passage?</w:t>
      </w:r>
    </w:p>
    <w:p>
      <w:pPr>
        <w:pStyle w:val="BodyText"/>
      </w:pPr>
      <w:r>
        <w:t xml:space="preserve">Derivation of a capacity does not determine who exercises it. A taught skill can become the learner’s operation; the ontological proposal generalizes this distinction while requiring a real contribution by the dependent subject. Occasionalism survives if that contribution cannot be established.</w:t>
      </w:r>
    </w:p>
    <w:p>
      <w:pPr>
        <w:pStyle w:val="BodyText"/>
      </w:pPr>
      <w:r>
        <w:t xml:space="preserve">What follows?</w:t>
      </w:r>
    </w:p>
    <w:p>
      <w:pPr>
        <w:pStyle w:val="BodyText"/>
      </w:pPr>
      <w:r>
        <w:t xml:space="preserve">An action can depend wholly on God for its actuality and genuinely belong to a secondary agent in the respect in which that agent acts.</w:t>
      </w:r>
    </w:p>
    <w:p>
      <w:pPr>
        <w:pStyle w:val="BodyText"/>
      </w:pPr>
      <w:r>
        <w:t xml:space="preserve">Remaining burden: This does not settle disputes over divine concurrence or explain by itself how a libertarian choice remains otherwise possible.</w:t>
      </w:r>
    </w:p>
    <w:bookmarkEnd w:id="408"/>
    <w:bookmarkEnd w:id="409"/>
    <w:bookmarkStart w:id="411" w:name="Xef3fe3253b850a8812756af78023ec7678d20d1"/>
    <w:p>
      <w:pPr>
        <w:pStyle w:val="Heading2"/>
      </w:pPr>
      <w:r>
        <w:t xml:space="preserve">Supporting an act is not intending its disorder</w:t>
      </w:r>
    </w:p>
    <w:p>
      <w:pPr>
        <w:pStyle w:val="FirstParagraph"/>
      </w:pPr>
      <w:r>
        <w:t xml:space="preserve">Status: Conditional metaphysical reconstruction within a doctrinal boundary.</w:t>
      </w:r>
    </w:p>
    <w:p>
      <w:pPr>
        <w:pStyle w:val="BodyText"/>
      </w:pPr>
      <w:r>
        <w:t xml:space="preserve">A lie involves positive realities: a speaker, understanding, linguistic power, bodily movement, and an audience. Its moral disorder concerns the speaker’s deliberate misuse of communication against truth and another person’s good. God need not communicate falsity as a positive perfection in order to sustain those realities. The wrong belongs to an act’s defective ordering, for which the responsible secondary agent is answerable. The Catechism §311 excludes God as the cause of moral evil, while affirming permission and the possibility of bringing good from its consequences.</w:t>
      </w:r>
    </w:p>
    <w:p>
      <w:pPr>
        <w:pStyle w:val="BodyText"/>
      </w:pPr>
      <w:r>
        <w:t xml:space="preserve">Permission is consequently distinct from approving, commanding, or choosing a wrong as one’s instrument. Yet calling something permitted is only the beginning of explanation. An omnipotent agent capable of preventing it still faces the question of why nonprevention is consistent with goodness. Respect for freedom supplies one substantial consideration: preventing every misuse by abolishing meaningful agency would forfeit a real good. That does not establish that every actual misuse, or its full consequences, was necessary. A detailed account must distinguish allowing a creature to choose, allowing harm to reach a victim, setting limits, and redeeming what occurred. These claims require different reasons.</w:t>
      </w:r>
    </w:p>
    <w:bookmarkStart w:id="410" w:name="X2137b0f7d72bfa946ec0d9f58f3c5a145cc050f"/>
    <w:p>
      <w:pPr>
        <w:pStyle w:val="Heading3"/>
      </w:pPr>
      <w:r>
        <w:t xml:space="preserve">Distinguishing an act’s actuality from its moral defect</w:t>
      </w:r>
    </w:p>
    <w:p>
      <w:pPr>
        <w:pStyle w:val="FirstParagraph"/>
      </w:pPr>
      <w:r>
        <w:t xml:space="preserve">A dependence-and-valuation distinction, not a complete theodicy.</w:t>
      </w:r>
    </w:p>
    <w:p>
      <w:pPr>
        <w:pStyle w:val="BodyText"/>
      </w:pPr>
      <w:r>
        <w:t xml:space="preserve">Indispensable premises:</w:t>
      </w:r>
    </w:p>
    <w:p>
      <w:pPr>
        <w:pStyle w:val="Compact"/>
        <w:numPr>
          <w:ilvl w:val="0"/>
          <w:numId w:val="1087"/>
        </w:numPr>
      </w:pPr>
      <w:r>
        <w:t xml:space="preserve">The action has positive powers and operations that can be sustained as created realities.</w:t>
      </w:r>
    </w:p>
    <w:p>
      <w:pPr>
        <w:pStyle w:val="Compact"/>
        <w:numPr>
          <w:ilvl w:val="0"/>
          <w:numId w:val="1087"/>
        </w:numPr>
      </w:pPr>
      <w:r>
        <w:t xml:space="preserve">Its defect consists in the responsible agent’s failure to order those powers to a due good.</w:t>
      </w:r>
    </w:p>
    <w:p>
      <w:pPr>
        <w:pStyle w:val="Compact"/>
        <w:numPr>
          <w:ilvl w:val="0"/>
          <w:numId w:val="1087"/>
        </w:numPr>
      </w:pPr>
      <w:r>
        <w:t xml:space="preserve">Giving actuality does not by itself entail intending every defective relation of the recipient’s exercise.</w:t>
      </w:r>
    </w:p>
    <w:p>
      <w:pPr>
        <w:pStyle w:val="FirstParagraph"/>
      </w:pPr>
      <w:r>
        <w:t xml:space="preserve">Why accept the passage?</w:t>
      </w:r>
    </w:p>
    <w:p>
      <w:pPr>
        <w:pStyle w:val="BodyText"/>
      </w:pPr>
      <w:r>
        <w:t xml:space="preserve">A contribution must be attributed under the respect that explains it. Sustaining the capacity to communicate and choosing to deceive are different contributions. The serious rival argues that exhaustive divine determination makes God responsible for the whole defective choice; the account must therefore defend genuine secondary exercise rather than merely relabel it.</w:t>
      </w:r>
    </w:p>
    <w:p>
      <w:pPr>
        <w:pStyle w:val="BodyText"/>
      </w:pPr>
      <w:r>
        <w:t xml:space="preserve">What follows?</w:t>
      </w:r>
    </w:p>
    <w:p>
      <w:pPr>
        <w:pStyle w:val="BodyText"/>
      </w:pPr>
      <w:r>
        <w:t xml:space="preserve">A coherent distinction is available between divine support of positive actuality and creaturely authorship of moral fault.</w:t>
      </w:r>
    </w:p>
    <w:p>
      <w:pPr>
        <w:pStyle w:val="BodyText"/>
      </w:pPr>
      <w:r>
        <w:t xml:space="preserve">Remaining burden: Distinguishing causal respects does not establish a sufficient moral reason for permitting a particular evil, nor resolve every dispute about exhaustive determination.</w:t>
      </w:r>
    </w:p>
    <w:bookmarkEnd w:id="410"/>
    <w:bookmarkEnd w:id="411"/>
    <w:bookmarkStart w:id="412" w:name="X4ee44054441450827ce124cc929bc87e8f159a8"/>
    <w:p>
      <w:pPr>
        <w:pStyle w:val="Heading2"/>
      </w:pPr>
      <w:r>
        <w:t xml:space="preserve">Chance and foreknowledge do not have one meaning</w:t>
      </w:r>
    </w:p>
    <w:p>
      <w:pPr>
        <w:pStyle w:val="FirstParagraph"/>
      </w:pPr>
      <w:r>
        <w:t xml:space="preserve">Status: Philosophical clarification and open metaphysical question.</w:t>
      </w:r>
    </w:p>
    <w:p>
      <w:pPr>
        <w:pStyle w:val="BodyText"/>
      </w:pPr>
      <w:r>
        <w:t xml:space="preserve">Chance can mean the intersection of independent causal chains, unpredictability relative to a finite knower, or genuinely indeterministic outcomes. None is identical with absence of dependence. A person can encounter an old friend through two independent travel plans even if both lives depend on God. Conversely, calling an encounter providential does not identify a special message or prove that God separately arranged every detail. Intelligent care can concern an order containing real secondary causes and contingencies; the precise account of its ordering remains disputed.</w:t>
      </w:r>
    </w:p>
    <w:p>
      <w:pPr>
        <w:pStyle w:val="BodyText"/>
      </w:pPr>
      <w:r>
        <w:t xml:space="preserve">Divine knowledge adds another problem. If God infallibly knows that a person chooses A, then A occurs; otherwise the alleged knowledge was false. That conditional does not establish that the choice occurs necessarily or that God’s knowing caused its moral character. A full theory must explain how God’s knowledge has this determinate content without learning or making the creature’s freedom illusory. Knowing possibilities is insufficient, and productive knowledge of intended effects does not automatically cover permitted faults. Catholic theology affirms providence and creaturely responsibility; Thomist, Molinist, and other accounts dispute their explanatory articulation. This atlas does not settle the controversy by confusing certainty with necessity.</w:t>
      </w:r>
    </w:p>
    <w:bookmarkEnd w:id="412"/>
    <w:bookmarkStart w:id="413" w:name="X0cb548f464df2ada66b0f0c303787cb004facc2"/>
    <w:p>
      <w:pPr>
        <w:pStyle w:val="Heading2"/>
      </w:pPr>
      <w:r>
        <w:t xml:space="preserve">What privation explains, and what it leaves unanswered</w:t>
      </w:r>
    </w:p>
    <w:p>
      <w:pPr>
        <w:pStyle w:val="FirstParagraph"/>
      </w:pPr>
      <w:r>
        <w:t xml:space="preserve">Status: Philosophical argument with an unresolved theodicy burden.</w:t>
      </w:r>
    </w:p>
    <w:p>
      <w:pPr>
        <w:pStyle w:val="BodyText"/>
      </w:pPr>
      <w:r>
        <w:t xml:space="preserve">An evil is assessed against a good appropriate to a subject. Blindness is a deprivation for an animal capable by nature of sight, not for a stone. Betrayal deprives a relationship of due fidelity. This account explains why evil is parasitic upon real subjects, powers, and goods. It does not make suffering unreal: a wound, traumatic memory, and enduring pain are actual experiences whose harmfulness concerns the goods they damage or obstruct. Finitude itself is not a defect; a finite melody need not contain every note to be complete as that melody.</w:t>
      </w:r>
    </w:p>
    <w:p>
      <w:pPr>
        <w:pStyle w:val="BodyText"/>
      </w:pPr>
      <w:r>
        <w:t xml:space="preserve">These distinctions resist two errors. Evil need not be a positive divine substance or a perfection required to complete God. But its dependence on goods does not make its permission morally unproblematic. Courage can emerge under danger; solidarity can answer disaster. Neither consequence proves that this danger or disaster was justified. Natural regularity and meaningful agency explain some conditions of vulnerability, while leaving the distribution and severity of suffering open to serious challenge. Christian redemption offers judgment, healing, and resurrection; it does not instruct a victim to call injustice good.</w:t>
      </w:r>
    </w:p>
    <w:bookmarkEnd w:id="413"/>
    <w:bookmarkStart w:id="415" w:name="Xa1e5f35a3194458c920666e81f27a7986b0a4e5"/>
    <w:p>
      <w:pPr>
        <w:pStyle w:val="Heading2"/>
      </w:pPr>
      <w:r>
        <w:t xml:space="preserve">Prayer can be a cause without changing God into a better giver</w:t>
      </w:r>
    </w:p>
    <w:p>
      <w:pPr>
        <w:pStyle w:val="FirstParagraph"/>
      </w:pPr>
      <w:r>
        <w:t xml:space="preserve">Status: Conditional philosophical account and received theology of prayer.</w:t>
      </w:r>
    </w:p>
    <w:p>
      <w:pPr>
        <w:pStyle w:val="BodyText"/>
      </w:pPr>
      <w:r>
        <w:t xml:space="preserve">Petition need not inform an ignorant God or overcome divine reluctance. A provident intention can include a good as given through a creature’s request. In that case prayer contributes to the history in which the good is received: it expresses need, opens cooperation, and can become one condition of a freely given response. The relevant difference is in the created relation and outcome; no improvement in divine generosity is required. This proposal makes prayer more than internal self-adjustment, since it allows real effects beyond the petitioner.</w:t>
      </w:r>
    </w:p>
    <w:p>
      <w:pPr>
        <w:pStyle w:val="BodyText"/>
      </w:pPr>
      <w:r>
        <w:t xml:space="preserve">It remains a conditional account of how petition could matter, not a prediction that every requested outcome will occur. The Catechism §1508 explicitly refuses that prediction for healing. Absence of a cure neither proves deficient faith nor makes God absent from the sufferer’s life. Still, widespread sincere unanswered prayer and apparently inaccessible divine care constitute evidence requiring a response, not a prohibition on asking questions. Lament belongs within faith. A thoughtful account joins petition to action, medical care, justice, and companionship, while retaining the unresolved question of why this petition received no visible answer.</w:t>
      </w:r>
    </w:p>
    <w:bookmarkStart w:id="414" w:name="X4b03779ee0391694ff0be8824d3342d4447c0ef"/>
    <w:p>
      <w:pPr>
        <w:pStyle w:val="Heading3"/>
      </w:pPr>
      <w:r>
        <w:t xml:space="preserve">Prayer within a freely intended conditional gift</w:t>
      </w:r>
    </w:p>
    <w:p>
      <w:pPr>
        <w:pStyle w:val="FirstParagraph"/>
      </w:pPr>
      <w:r>
        <w:t xml:space="preserve">A proposal about the causal significance of petition within providence.</w:t>
      </w:r>
    </w:p>
    <w:p>
      <w:pPr>
        <w:pStyle w:val="BodyText"/>
      </w:pPr>
      <w:r>
        <w:t xml:space="preserve">Indispensable premises:</w:t>
      </w:r>
    </w:p>
    <w:p>
      <w:pPr>
        <w:pStyle w:val="Compact"/>
        <w:numPr>
          <w:ilvl w:val="0"/>
          <w:numId w:val="1088"/>
        </w:numPr>
      </w:pPr>
      <w:r>
        <w:t xml:space="preserve">An intelligent giver can intend an outcome through a recipient’s genuine participation.</w:t>
      </w:r>
    </w:p>
    <w:p>
      <w:pPr>
        <w:pStyle w:val="Compact"/>
        <w:numPr>
          <w:ilvl w:val="0"/>
          <w:numId w:val="1088"/>
        </w:numPr>
      </w:pPr>
      <w:r>
        <w:t xml:space="preserve">Prayer can be such a participation rather than information supplied to God.</w:t>
      </w:r>
    </w:p>
    <w:p>
      <w:pPr>
        <w:pStyle w:val="Compact"/>
        <w:numPr>
          <w:ilvl w:val="0"/>
          <w:numId w:val="1088"/>
        </w:numPr>
      </w:pPr>
      <w:r>
        <w:t xml:space="preserve">The divine intention need not begin or improve when the created petition occurs.</w:t>
      </w:r>
    </w:p>
    <w:p>
      <w:pPr>
        <w:pStyle w:val="FirstParagraph"/>
      </w:pPr>
      <w:r>
        <w:t xml:space="preserve">Why accept the passage?</w:t>
      </w:r>
    </w:p>
    <w:p>
      <w:pPr>
        <w:pStyle w:val="BodyText"/>
      </w:pPr>
      <w:r>
        <w:t xml:space="preserve">Intending a gift through a request makes the request explanatorily relevant without making the giver deficient before it. Applied to God, this requires a defended account of free, nonreceptive intention. The rival that prayer only changes the petitioner remains possible unless grounds support effects beyond that change.</w:t>
      </w:r>
    </w:p>
    <w:p>
      <w:pPr>
        <w:pStyle w:val="BodyText"/>
      </w:pPr>
      <w:r>
        <w:t xml:space="preserve">What follows?</w:t>
      </w:r>
    </w:p>
    <w:p>
      <w:pPr>
        <w:pStyle w:val="BodyText"/>
      </w:pPr>
      <w:r>
        <w:t xml:space="preserve">Petition can be a real secondary contribution to an outcome while divine knowledge and goodness remain unacquired.</w:t>
      </w:r>
    </w:p>
    <w:p>
      <w:pPr>
        <w:pStyle w:val="BodyText"/>
      </w:pPr>
      <w:r>
        <w:t xml:space="preserve">Remaining burden: The model does not identify which outcomes depend on prayer or establish God’s reason for each refusal; those claims need further warrant.</w:t>
      </w:r>
    </w:p>
    <w:bookmarkEnd w:id="414"/>
    <w:bookmarkEnd w:id="415"/>
    <w:bookmarkStart w:id="416" w:name="X7153644eb716e8a119d76a923123d6e199dde23"/>
    <w:p>
      <w:pPr>
        <w:pStyle w:val="Heading2"/>
      </w:pPr>
      <w:r>
        <w:t xml:space="preserve">Extraordinary action points beyond its temporary benefit</w:t>
      </w:r>
    </w:p>
    <w:p>
      <w:pPr>
        <w:pStyle w:val="FirstParagraph"/>
      </w:pPr>
      <w:r>
        <w:t xml:space="preserve">Status: Conditional causal analysis and Christian theological interpretation.</w:t>
      </w:r>
    </w:p>
    <w:p>
      <w:pPr>
        <w:pStyle w:val="BodyText"/>
      </w:pPr>
      <w:r>
        <w:t xml:space="preserve">If created powers receive their existence from God, their regular operation need not exhaust divine causal power. Extraordinary action is consequently not excluded merely because it exceeds a created capacity. This establishes a conditional possibility, not the occurrence of a miracle. Creation, conservation, and an unusual intervention also differ: creation is not a spectacular change in preexisting matter. Whether a reported recovery is miraculous requires the independent evidence and causal judgments developed on Page 5, together with a careful account of what, if anything, the event signifies.</w:t>
      </w:r>
    </w:p>
    <w:p>
      <w:pPr>
        <w:pStyle w:val="BodyText"/>
      </w:pPr>
      <w:r>
        <w:t xml:space="preserve">Christian theology interprets genuine signs within the Paschal horizon: healing anticipates restoration, yet the healed person remains mortal. It neither guarantees immunity to suffering nor ranks recipients by divine affection. Providence’s final claim concerns a good capable of overcoming evil without making evil a good. Resurrection and communion supply that revealed promise; metaphysics clarifies how fulfillment can preserve the creature without absorbing it into God. Historical hope then has practical force: rescue, treatment, resistance to injustice, and solidarity are genuine creaturely contributions. Trust in providence should deepen those responsibilities rather than displace them.</w:t>
      </w:r>
    </w:p>
    <w:bookmarkEnd w:id="416"/>
    <w:bookmarkStart w:id="423" w:name="core-questions-and-answers-8"/>
    <w:p>
      <w:pPr>
        <w:pStyle w:val="Heading2"/>
      </w:pPr>
      <w:r>
        <w:t xml:space="preserve">Core questions and answers</w:t>
      </w:r>
    </w:p>
    <w:bookmarkStart w:id="417" w:name="Xa57da849d2e3fb48ee8e6442ab1544c643c9e67"/>
    <w:p>
      <w:pPr>
        <w:pStyle w:val="Heading3"/>
      </w:pPr>
      <w:r>
        <w:t xml:space="preserve">If God sustains everything, does God cause the wrongdoing too?</w:t>
      </w:r>
    </w:p>
    <w:p>
      <w:pPr>
        <w:pStyle w:val="FirstParagraph"/>
      </w:pPr>
      <w:r>
        <w:t xml:space="preserve">God sustains the agent and the positive powers involved; the claim that God therefore authors the moral defect requires another premise. A lie uses genuine capacities whose wrongful ordering belongs to the speaker’s intention. The participatory account attributes received existence to God and the defective exercise to the responsible secondary agent, without treating evil as an additional perfection that God supplies.</w:t>
      </w:r>
    </w:p>
    <w:p>
      <w:pPr>
        <w:pStyle w:val="BodyText"/>
      </w:pPr>
      <w:r>
        <w:t xml:space="preserve">That distinction has explanatory value but must be defended against determinist and occasionalist rivals. It also leaves a further question: why did God permit the wrong or allow its harmful consequences? Identifying the agent responsible for a fault does not supply a complete reason for divine nonprevention. Catholic teaching preserves both God’s goodness and real creaturely responsibility while philosophical accounts debate the precise causal articulation.</w:t>
      </w:r>
    </w:p>
    <w:bookmarkEnd w:id="417"/>
    <w:bookmarkStart w:id="418" w:name="Xb52e8df7917241d123cf4c5ff31df3ff090374a"/>
    <w:p>
      <w:pPr>
        <w:pStyle w:val="Heading3"/>
      </w:pPr>
      <w:r>
        <w:t xml:space="preserve">Causal support does not automatically transfer moral authorship</w:t>
      </w:r>
    </w:p>
    <w:p>
      <w:pPr>
        <w:pStyle w:val="FirstParagraph"/>
      </w:pPr>
      <w:r>
        <w:t xml:space="preserve">A conditional analysis of agency and culpability.</w:t>
      </w:r>
    </w:p>
    <w:p>
      <w:pPr>
        <w:pStyle w:val="BodyText"/>
      </w:pPr>
      <w:r>
        <w:t xml:space="preserve">Indispensable premises:</w:t>
      </w:r>
    </w:p>
    <w:p>
      <w:pPr>
        <w:pStyle w:val="Compact"/>
        <w:numPr>
          <w:ilvl w:val="0"/>
          <w:numId w:val="1089"/>
        </w:numPr>
      </w:pPr>
      <w:r>
        <w:t xml:space="preserve">An action can have explanatory contributions at distinct causal levels.</w:t>
      </w:r>
    </w:p>
    <w:p>
      <w:pPr>
        <w:pStyle w:val="Compact"/>
        <w:numPr>
          <w:ilvl w:val="0"/>
          <w:numId w:val="1089"/>
        </w:numPr>
      </w:pPr>
      <w:r>
        <w:t xml:space="preserve">Moral authorship depends on the relevant knowledge, intention, and responsible exercise.</w:t>
      </w:r>
    </w:p>
    <w:p>
      <w:pPr>
        <w:pStyle w:val="Compact"/>
        <w:numPr>
          <w:ilvl w:val="0"/>
          <w:numId w:val="1089"/>
        </w:numPr>
      </w:pPr>
      <w:r>
        <w:t xml:space="preserve">The secondary agent genuinely contributes that exercise.</w:t>
      </w:r>
    </w:p>
    <w:p>
      <w:pPr>
        <w:pStyle w:val="FirstParagraph"/>
      </w:pPr>
      <w:r>
        <w:t xml:space="preserve">Why accept the passage?</w:t>
      </w:r>
    </w:p>
    <w:p>
      <w:pPr>
        <w:pStyle w:val="BodyText"/>
      </w:pPr>
      <w:r>
        <w:t xml:space="preserve">Supplying a capacity does not identify the intention with which it is used. The rival of exhaustive determination challenges the last premise and requires direct engagement; universal dependence alone does not settle it.</w:t>
      </w:r>
    </w:p>
    <w:p>
      <w:pPr>
        <w:pStyle w:val="BodyText"/>
      </w:pPr>
      <w:r>
        <w:t xml:space="preserve">What follows?</w:t>
      </w:r>
    </w:p>
    <w:p>
      <w:pPr>
        <w:pStyle w:val="BodyText"/>
      </w:pPr>
      <w:r>
        <w:t xml:space="preserve">Divine support of an agent’s actuality need not make God the author of the agent’s wrongful intention.</w:t>
      </w:r>
    </w:p>
    <w:p>
      <w:pPr>
        <w:pStyle w:val="BodyText"/>
      </w:pPr>
      <w:r>
        <w:t xml:space="preserve">Remaining burden: A full account must still defend secondary freedom and explain permission without making the wrong a positively intended means.</w:t>
      </w:r>
    </w:p>
    <w:p>
      <w:pPr>
        <w:pStyle w:val="BodyText"/>
      </w:pPr>
      <w:hyperlink r:id="rId162">
        <w:r>
          <w:rPr>
            <w:rStyle w:val="Hyperlink"/>
          </w:rPr>
          <w:t xml:space="preserve">Divine and creaturely agency</w:t>
        </w:r>
      </w:hyperlink>
      <w:r>
        <w:t xml:space="preserve"> </w:t>
      </w:r>
      <w:r>
        <w:t xml:space="preserve">·</w:t>
      </w:r>
      <w:r>
        <w:t xml:space="preserve"> </w:t>
      </w:r>
      <w:hyperlink r:id="rId181">
        <w:r>
          <w:rPr>
            <w:rStyle w:val="Hyperlink"/>
          </w:rPr>
          <w:t xml:space="preserve">Responsibility and human freedom</w:t>
        </w:r>
      </w:hyperlink>
    </w:p>
    <w:bookmarkEnd w:id="418"/>
    <w:bookmarkStart w:id="419" w:name="Xd83a7ee6e1f8a72d7df371f6fe453b2d42101d1"/>
    <w:p>
      <w:pPr>
        <w:pStyle w:val="Heading3"/>
      </w:pPr>
      <w:r>
        <w:t xml:space="preserve">Does prayer really change anything if God already knows and wills?</w:t>
      </w:r>
    </w:p>
    <w:p>
      <w:pPr>
        <w:pStyle w:val="FirstParagraph"/>
      </w:pPr>
      <w:r>
        <w:t xml:space="preserve">It can change the created history through which a good is given. An intention can include both a request and a response, making the request a genuine condition rather than an attempt to repair the giver’s knowledge. On this account God does not acquire generosity when we pray; we participate in an order of freely given goods.</w:t>
      </w:r>
    </w:p>
    <w:p>
      <w:pPr>
        <w:pStyle w:val="BodyText"/>
      </w:pPr>
      <w:r>
        <w:t xml:space="preserve">This is a positive model, not a guarantee of a particular answer. A defensible account must explain why some gifts are conditioned on petition and must face sincere unanswered prayer. It also requires the broader account of free divine intention and contingent knowledge. Prayer’s formation of the petitioner is real; whether a particular external event answers prayer requires additional evidence.</w:t>
      </w:r>
    </w:p>
    <w:bookmarkEnd w:id="419"/>
    <w:bookmarkStart w:id="420" w:name="Xb76cb9e217542204a6a6b4b7448080875b26256"/>
    <w:p>
      <w:pPr>
        <w:pStyle w:val="Heading3"/>
      </w:pPr>
      <w:r>
        <w:t xml:space="preserve">A fixed intention can include changing relations and outcomes</w:t>
      </w:r>
    </w:p>
    <w:p>
      <w:pPr>
        <w:pStyle w:val="FirstParagraph"/>
      </w:pPr>
      <w:r>
        <w:t xml:space="preserve">A conditional distinction between the giver’s intrinsic actuality and the creature’s history.</w:t>
      </w:r>
    </w:p>
    <w:p>
      <w:pPr>
        <w:pStyle w:val="BodyText"/>
      </w:pPr>
      <w:r>
        <w:t xml:space="preserve">Indispensable premises:</w:t>
      </w:r>
    </w:p>
    <w:p>
      <w:pPr>
        <w:pStyle w:val="Compact"/>
        <w:numPr>
          <w:ilvl w:val="0"/>
          <w:numId w:val="1090"/>
        </w:numPr>
      </w:pPr>
      <w:r>
        <w:t xml:space="preserve">An intention may concern an outcome through a freely performed condition.</w:t>
      </w:r>
    </w:p>
    <w:p>
      <w:pPr>
        <w:pStyle w:val="Compact"/>
        <w:numPr>
          <w:ilvl w:val="0"/>
          <w:numId w:val="1090"/>
        </w:numPr>
      </w:pPr>
      <w:r>
        <w:t xml:space="preserve">The occurrence of that condition can make a real difference to the created outcome.</w:t>
      </w:r>
    </w:p>
    <w:p>
      <w:pPr>
        <w:pStyle w:val="Compact"/>
        <w:numPr>
          <w:ilvl w:val="0"/>
          <w:numId w:val="1090"/>
        </w:numPr>
      </w:pPr>
      <w:r>
        <w:t xml:space="preserve">God’s relation to this history need not be an acquired improvement in divine actuality.</w:t>
      </w:r>
    </w:p>
    <w:p>
      <w:pPr>
        <w:pStyle w:val="FirstParagraph"/>
      </w:pPr>
      <w:r>
        <w:t xml:space="preserve">Why accept the passage?</w:t>
      </w:r>
    </w:p>
    <w:p>
      <w:pPr>
        <w:pStyle w:val="BodyText"/>
      </w:pPr>
      <w:r>
        <w:t xml:space="preserve">The reality of a temporal contribution does not require a later revision in the giver. The rival that every effect was necessitated regardless of prayer must be excluded by the account of contingent intention, rather than by asserting that petition feels meaningful.</w:t>
      </w:r>
    </w:p>
    <w:p>
      <w:pPr>
        <w:pStyle w:val="BodyText"/>
      </w:pPr>
      <w:r>
        <w:t xml:space="preserve">What follows?</w:t>
      </w:r>
    </w:p>
    <w:p>
      <w:pPr>
        <w:pStyle w:val="BodyText"/>
      </w:pPr>
      <w:r>
        <w:t xml:space="preserve">Prayer can be a real contribution to providence without informing or perfecting God.</w:t>
      </w:r>
    </w:p>
    <w:p>
      <w:pPr>
        <w:pStyle w:val="BodyText"/>
      </w:pPr>
      <w:r>
        <w:t xml:space="preserve">Remaining burden: Actual efficacy and the conditions of a particular petition remain questions for theological and evidential judgment.</w:t>
      </w:r>
    </w:p>
    <w:p>
      <w:pPr>
        <w:pStyle w:val="BodyText"/>
      </w:pPr>
      <w:hyperlink r:id="rId207">
        <w:r>
          <w:rPr>
            <w:rStyle w:val="Hyperlink"/>
          </w:rPr>
          <w:t xml:space="preserve">Grace, prayer, and the Rosary</w:t>
        </w:r>
      </w:hyperlink>
      <w:r>
        <w:t xml:space="preserve"> </w:t>
      </w:r>
      <w:r>
        <w:t xml:space="preserve">·</w:t>
      </w:r>
      <w:r>
        <w:t xml:space="preserve"> </w:t>
      </w:r>
      <w:hyperlink r:id="rId162">
        <w:r>
          <w:rPr>
            <w:rStyle w:val="Hyperlink"/>
          </w:rPr>
          <w:t xml:space="preserve">Contingent divine intention</w:t>
        </w:r>
      </w:hyperlink>
    </w:p>
    <w:bookmarkEnd w:id="420"/>
    <w:bookmarkStart w:id="421" w:name="X8ea7550a56bd61bffecdcd12ee3ce2c47526305"/>
    <w:p>
      <w:pPr>
        <w:pStyle w:val="Heading3"/>
      </w:pPr>
      <w:r>
        <w:t xml:space="preserve">Why would God heal one person and leave another suffering?</w:t>
      </w:r>
    </w:p>
    <w:p>
      <w:pPr>
        <w:pStyle w:val="FirstParagraph"/>
      </w:pPr>
      <w:r>
        <w:t xml:space="preserve">We do not possess a general explanation of that distribution. Christian doctrine permits interpreting a genuine healing as a gift and a sign of hoped-for restoration, while explicitly denying that intense prayer guarantees every cure. It gives no warrant for measuring the unhealed person’s faith, worth, or divine belovedness by the outcome.</w:t>
      </w:r>
    </w:p>
    <w:p>
      <w:pPr>
        <w:pStyle w:val="BodyText"/>
      </w:pPr>
      <w:r>
        <w:t xml:space="preserve">A miracle can provide a limited disclosure without explaining the entire history of suffering. That limit does not cancel its possible evidence, but it leaves hiddenness and apparently preventable harm as serious questions. The responsible response combines discernment with treatment, companionship, justice, lament, and hope in resurrection. An account that blames sufferers or treats their pain as a necessary improvement in God contradicts the very goodness it is meant to defend.</w:t>
      </w:r>
    </w:p>
    <w:bookmarkEnd w:id="421"/>
    <w:bookmarkStart w:id="422" w:name="Xaf1b595fd9811914a24230a223847dca3b9b0f1"/>
    <w:p>
      <w:pPr>
        <w:pStyle w:val="Heading3"/>
      </w:pPr>
      <w:r>
        <w:t xml:space="preserve">A particular gift does not establish a ranking of recipients</w:t>
      </w:r>
    </w:p>
    <w:p>
      <w:pPr>
        <w:pStyle w:val="FirstParagraph"/>
      </w:pPr>
      <w:r>
        <w:t xml:space="preserve">An evidential and moral limit on interpreting healing.</w:t>
      </w:r>
    </w:p>
    <w:p>
      <w:pPr>
        <w:pStyle w:val="BodyText"/>
      </w:pPr>
      <w:r>
        <w:t xml:space="preserve">Indispensable premises:</w:t>
      </w:r>
    </w:p>
    <w:p>
      <w:pPr>
        <w:pStyle w:val="Compact"/>
        <w:numPr>
          <w:ilvl w:val="0"/>
          <w:numId w:val="1091"/>
        </w:numPr>
      </w:pPr>
      <w:r>
        <w:t xml:space="preserve">A healing may benefit a person or function as a sign without measuring comparative merit.</w:t>
      </w:r>
    </w:p>
    <w:p>
      <w:pPr>
        <w:pStyle w:val="Compact"/>
        <w:numPr>
          <w:ilvl w:val="0"/>
          <w:numId w:val="1091"/>
        </w:numPr>
      </w:pPr>
      <w:r>
        <w:t xml:space="preserve">No independently warranted relation links nonhealing with deficient faith or lesser divine love.</w:t>
      </w:r>
    </w:p>
    <w:p>
      <w:pPr>
        <w:pStyle w:val="Compact"/>
        <w:numPr>
          <w:ilvl w:val="0"/>
          <w:numId w:val="1091"/>
        </w:numPr>
      </w:pPr>
      <w:r>
        <w:t xml:space="preserve">Catholic teaching does not promise universal healing within mortal history.</w:t>
      </w:r>
    </w:p>
    <w:p>
      <w:pPr>
        <w:pStyle w:val="FirstParagraph"/>
      </w:pPr>
      <w:r>
        <w:t xml:space="preserve">Why accept the passage?</w:t>
      </w:r>
    </w:p>
    <w:p>
      <w:pPr>
        <w:pStyle w:val="BodyText"/>
      </w:pPr>
      <w:r>
        <w:t xml:space="preserve">Inferring a spiritual defect from an absent cure adds a causal or evaluative premise unsupported by the event. The rival claim that all suffering has an identifiable pedagogical purpose also exceeds the available evidence.</w:t>
      </w:r>
    </w:p>
    <w:p>
      <w:pPr>
        <w:pStyle w:val="BodyText"/>
      </w:pPr>
      <w:r>
        <w:t xml:space="preserve">What follows?</w:t>
      </w:r>
    </w:p>
    <w:p>
      <w:pPr>
        <w:pStyle w:val="BodyText"/>
      </w:pPr>
      <w:r>
        <w:t xml:space="preserve">One may affirm a particular healing while refusing victim-blaming and retaining the question of unhealed suffering.</w:t>
      </w:r>
    </w:p>
    <w:p>
      <w:pPr>
        <w:pStyle w:val="BodyText"/>
      </w:pPr>
      <w:r>
        <w:t xml:space="preserve">Remaining burden: This removes a harmful inference; it does not explain God’s particular reasons or resolve the full evidential problem of evil.</w:t>
      </w:r>
    </w:p>
    <w:p>
      <w:pPr>
        <w:pStyle w:val="BodyText"/>
      </w:pPr>
      <w:hyperlink r:id="rId210">
        <w:r>
          <w:rPr>
            <w:rStyle w:val="Hyperlink"/>
          </w:rPr>
          <w:t xml:space="preserve">Miracle evidence and its attested scope</w:t>
        </w:r>
      </w:hyperlink>
      <w:r>
        <w:t xml:space="preserve"> </w:t>
      </w:r>
      <w:r>
        <w:t xml:space="preserve">·</w:t>
      </w:r>
      <w:r>
        <w:t xml:space="preserve"> </w:t>
      </w:r>
      <w:hyperlink r:id="rId214">
        <w:r>
          <w:rPr>
            <w:rStyle w:val="Hyperlink"/>
          </w:rPr>
          <w:t xml:space="preserve">Resurrection and final fulfillment</w:t>
        </w:r>
      </w:hyperlink>
    </w:p>
    <w:bookmarkEnd w:id="422"/>
    <w:bookmarkEnd w:id="423"/>
    <w:bookmarkStart w:id="428" w:name="sources-and-precise-use-8"/>
    <w:p>
      <w:pPr>
        <w:pStyle w:val="Heading2"/>
      </w:pPr>
      <w:r>
        <w:t xml:space="preserve">Sources and precise use</w:t>
      </w:r>
    </w:p>
    <w:bookmarkStart w:id="424" w:name="Xc10dba75d4a607385c1d28e31e15d05f69368d1"/>
    <w:p>
      <w:pPr>
        <w:pStyle w:val="Heading3"/>
      </w:pPr>
      <w:r>
        <w:t xml:space="preserve">Catholic Church: Catechism of the Catholic Church</w:t>
      </w:r>
    </w:p>
    <w:p>
      <w:pPr>
        <w:pStyle w:val="FirstParagraph"/>
      </w:pPr>
      <w:r>
        <w:t xml:space="preserve">Locus: §§301–314, 1508, 2738.</w:t>
      </w:r>
    </w:p>
    <w:p>
      <w:pPr>
        <w:pStyle w:val="BodyText"/>
      </w:pPr>
      <w:r>
        <w:t xml:space="preserve">Status: Supplied primary text: selected passages consulted.</w:t>
      </w:r>
    </w:p>
    <w:p>
      <w:pPr>
        <w:pStyle w:val="BodyText"/>
      </w:pPr>
      <w:r>
        <w:t xml:space="preserve">Contribution: Conservation, providence, secondary causes, permission, evil remaining evil, the limits of healing, and prayer as cooperation.</w:t>
      </w:r>
    </w:p>
    <w:p>
      <w:pPr>
        <w:pStyle w:val="BodyText"/>
      </w:pPr>
      <w:r>
        <w:t xml:space="preserve">Limit: These doctrinal affirmations do not settle every causal model or disclose a sufficient reason for each permitted evil.</w:t>
      </w:r>
    </w:p>
    <w:p>
      <w:pPr>
        <w:pStyle w:val="BodyText"/>
      </w:pPr>
      <w:r>
        <w:t xml:space="preserve">Source/provenance: https://www.vatican.va/archive/ENG0015/_INDEX.HTM</w:t>
      </w:r>
    </w:p>
    <w:bookmarkEnd w:id="424"/>
    <w:bookmarkStart w:id="425" w:name="thomas-aquinas-summa-theologiae-2"/>
    <w:p>
      <w:pPr>
        <w:pStyle w:val="Heading3"/>
      </w:pPr>
      <w:r>
        <w:t xml:space="preserve">Thomas Aquinas: Summa theologiae</w:t>
      </w:r>
    </w:p>
    <w:p>
      <w:pPr>
        <w:pStyle w:val="FirstParagraph"/>
      </w:pPr>
      <w:r>
        <w:t xml:space="preserve">Locus: I, q.22; qq.104–105; II–II, q.83, a.2.</w:t>
      </w:r>
    </w:p>
    <w:p>
      <w:pPr>
        <w:pStyle w:val="BodyText"/>
      </w:pPr>
      <w:r>
        <w:t xml:space="preserve">Status: Historical reading lead identified in the supplied manuscript; original passages not freshly consulted for this page.</w:t>
      </w:r>
    </w:p>
    <w:p>
      <w:pPr>
        <w:pStyle w:val="BodyText"/>
      </w:pPr>
      <w:r>
        <w:t xml:space="preserve">Contribution: Resources for providential order, conservation, execution through created causes, extraordinary divine action, and prayer within providence.</w:t>
      </w:r>
    </w:p>
    <w:p>
      <w:pPr>
        <w:pStyle w:val="BodyText"/>
      </w:pPr>
      <w:r>
        <w:t xml:space="preserve">Limit: Aquinas’s broader causal and modal commitments require their own defense; the atlas does not attribute its complete synthesis to him.</w:t>
      </w:r>
    </w:p>
    <w:p>
      <w:pPr>
        <w:pStyle w:val="BodyText"/>
      </w:pPr>
      <w:r>
        <w:t xml:space="preserve">Source/provenance: https://www.newadvent.org/summa/1022.htm</w:t>
      </w:r>
    </w:p>
    <w:bookmarkEnd w:id="425"/>
    <w:bookmarkStart w:id="426" w:name="Xe3dd8b5d2863c31cfc3980bb439b4b0636be8fc"/>
    <w:p>
      <w:pPr>
        <w:pStyle w:val="Heading3"/>
      </w:pPr>
      <w:r>
        <w:t xml:space="preserve">Robert Dryer: Handbook on Miracles; supplied Miracle and Divine Testimony manuscript</w:t>
      </w:r>
    </w:p>
    <w:p>
      <w:pPr>
        <w:pStyle w:val="FirstParagraph"/>
      </w:pPr>
      <w:r>
        <w:t xml:space="preserve">Locus: Supplied manuscript chs.14, 19, 27–28 and Appendix D; handbook as further reading.</w:t>
      </w:r>
    </w:p>
    <w:p>
      <w:pPr>
        <w:pStyle w:val="BodyText"/>
      </w:pPr>
      <w:r>
        <w:t xml:space="preserve">Status: Supplied constructive manuscript: selected sections consulted; linked handbook live access not freshly verified.</w:t>
      </w:r>
    </w:p>
    <w:p>
      <w:pPr>
        <w:pStyle w:val="BodyText"/>
      </w:pPr>
      <w:r>
        <w:t xml:space="preserve">Contribution: Separate causal and evidential judgments, sacrament/miracle distinctions, hiddenness, nonuniversal healing, and refusal of evidential double standards.</w:t>
      </w:r>
    </w:p>
    <w:p>
      <w:pPr>
        <w:pStyle w:val="BodyText"/>
      </w:pPr>
      <w:r>
        <w:t xml:space="preserve">Limit: The reconstructed method is not an independently verified finding that any particular reported event was miraculous.</w:t>
      </w:r>
    </w:p>
    <w:p>
      <w:pPr>
        <w:pStyle w:val="BodyText"/>
      </w:pPr>
      <w:r>
        <w:t xml:space="preserve">Source/provenance: https://robertdryer.com/dictionary-of-theology/handbook-on-miracles/</w:t>
      </w:r>
    </w:p>
    <w:bookmarkEnd w:id="426"/>
    <w:bookmarkStart w:id="427" w:name="second-vatican-council-dei-verbum-4"/>
    <w:p>
      <w:pPr>
        <w:pStyle w:val="Heading3"/>
      </w:pPr>
      <w:r>
        <w:t xml:space="preserve">Second Vatican Council: Dei Verbum</w:t>
      </w:r>
    </w:p>
    <w:p>
      <w:pPr>
        <w:pStyle w:val="FirstParagraph"/>
      </w:pPr>
      <w:r>
        <w:t xml:space="preserve">Locus: §§2–5.</w:t>
      </w:r>
    </w:p>
    <w:p>
      <w:pPr>
        <w:pStyle w:val="BodyText"/>
      </w:pPr>
      <w:r>
        <w:t xml:space="preserve">Status: Supplied primary text: selected passages consulted.</w:t>
      </w:r>
    </w:p>
    <w:p>
      <w:pPr>
        <w:pStyle w:val="BodyText"/>
      </w:pPr>
      <w:r>
        <w:t xml:space="preserve">Contribution: Providential self-communication and signs interpreted through Christ’s life, death, resurrection, and gift of the Spirit.</w:t>
      </w:r>
    </w:p>
    <w:p>
      <w:pPr>
        <w:pStyle w:val="BodyText"/>
      </w:pPr>
      <w:r>
        <w:t xml:space="preserve">Limit: This is a received Christian horizon, not a natural demonstration of the reasons for individual permissions.</w:t>
      </w:r>
    </w:p>
    <w:p>
      <w:pPr>
        <w:pStyle w:val="BodyText"/>
      </w:pPr>
      <w:r>
        <w:t xml:space="preserve">Source/provenance: https://www.vatican.va/archive/hist_councils/ii_vatican_council/documents/vat-ii_const_19651118_dei-verbum_en.html</w:t>
      </w:r>
    </w:p>
    <w:bookmarkEnd w:id="427"/>
    <w:bookmarkEnd w:id="428"/>
    <w:bookmarkStart w:id="429" w:name="where-this-argument-matters-8"/>
    <w:p>
      <w:pPr>
        <w:pStyle w:val="Heading2"/>
      </w:pPr>
      <w:r>
        <w:t xml:space="preserve">Where this argument matters</w:t>
      </w:r>
    </w:p>
    <w:p>
      <w:pPr>
        <w:pStyle w:val="Compact"/>
        <w:numPr>
          <w:ilvl w:val="0"/>
          <w:numId w:val="1092"/>
        </w:numPr>
      </w:pPr>
      <w:hyperlink r:id="rId207">
        <w:r>
          <w:rPr>
            <w:rStyle w:val="Hyperlink"/>
          </w:rPr>
          <w:t xml:space="preserve">Grace and Prayer</w:t>
        </w:r>
      </w:hyperlink>
      <w:r>
        <w:t xml:space="preserve">: Petition, contemplation, and freely appropriated grace give providence a lived form without promising automatic outcomes.</w:t>
      </w:r>
    </w:p>
    <w:p>
      <w:pPr>
        <w:pStyle w:val="Compact"/>
        <w:numPr>
          <w:ilvl w:val="0"/>
          <w:numId w:val="1092"/>
        </w:numPr>
      </w:pPr>
      <w:hyperlink r:id="rId214">
        <w:r>
          <w:rPr>
            <w:rStyle w:val="Hyperlink"/>
          </w:rPr>
          <w:t xml:space="preserve">Resurrection and Beatitude</w:t>
        </w:r>
      </w:hyperlink>
      <w:r>
        <w:t xml:space="preserve">: The Christian answer reaches beyond temporary rescue toward judgment, restored life, and communion without absorption.</w:t>
      </w:r>
    </w:p>
    <w:p>
      <w:pPr>
        <w:pStyle w:val="Compact"/>
        <w:numPr>
          <w:ilvl w:val="0"/>
          <w:numId w:val="1092"/>
        </w:numPr>
      </w:pPr>
      <w:hyperlink r:id="rId210">
        <w:r>
          <w:rPr>
            <w:rStyle w:val="Hyperlink"/>
          </w:rPr>
          <w:t xml:space="preserve">Miracle and Divine Testimony</w:t>
        </w:r>
      </w:hyperlink>
      <w:r>
        <w:t xml:space="preserve">: The possibility of extraordinary action must be distinguished from evidence that an event occurred and what it attests.</w:t>
      </w:r>
    </w:p>
    <w:p>
      <w:r>
        <w:pict>
          <v:rect style="width:0;height:1.5pt" o:hralign="center" o:hrstd="t" o:hr="t"/>
        </w:pict>
      </w:r>
    </w:p>
    <w:bookmarkEnd w:id="429"/>
    <w:bookmarkEnd w:id="430"/>
    <w:bookmarkStart w:id="459" w:name="X24d46b8058fea7e3711127c21687c6fc260a96a"/>
    <w:p>
      <w:pPr>
        <w:pStyle w:val="Heading1"/>
      </w:pPr>
      <w:r>
        <w:t xml:space="preserve">13. Resurrection, Beatitude, and God All in All</w:t>
      </w:r>
    </w:p>
    <w:p>
      <w:pPr>
        <w:pStyle w:val="FirstParagraph"/>
      </w:pPr>
      <w:r>
        <w:t xml:space="preserve">How can the same created persons be raised, judged, and brought to immediate communion with God while God remains inexhaustible and creation remains genuinely other?</w:t>
      </w:r>
    </w:p>
    <w:p>
      <w:pPr>
        <w:pStyle w:val="BodyText"/>
      </w:pPr>
      <w:r>
        <w:t xml:space="preserve">Christian hope promises more than continued dependence on an eternal source. It promises resurrection through Christ, judgment of a morally serious history, purification, immediate vision of God, and renewed creation. These determinations are received through revelation. Participation clarifies how their fulfillment could perfect the creature without partitioning deity, erasing personhood, or supplying something God lacked.</w:t>
      </w:r>
    </w:p>
    <w:p>
      <w:pPr>
        <w:pStyle w:val="BodyText"/>
      </w:pPr>
      <w:r>
        <w:t xml:space="preserve">The governing asymmetry is positive: what is new at the end is the creature’s consummated life. God does not become complete through the world’s completion. Yet no argument from underivation alone establishes infinite goodness, the promise of resurrection, or the destiny of every individual. Each passage from sourcehood to plenitude, and from plenitude to promised communion, needs its own philosophical bridge or theological warrant.</w:t>
      </w:r>
    </w:p>
    <w:bookmarkStart w:id="431" w:name="what-this-page-uses-9"/>
    <w:p>
      <w:pPr>
        <w:pStyle w:val="Heading2"/>
      </w:pPr>
      <w:r>
        <w:t xml:space="preserve">What this page uses</w:t>
      </w:r>
    </w:p>
    <w:p>
      <w:pPr>
        <w:pStyle w:val="Compact"/>
        <w:numPr>
          <w:ilvl w:val="0"/>
          <w:numId w:val="1093"/>
        </w:numPr>
      </w:pPr>
      <w:hyperlink r:id="rId160">
        <w:r>
          <w:rPr>
            <w:rStyle w:val="Hyperlink"/>
          </w:rPr>
          <w:t xml:space="preserve">Participation</w:t>
        </w:r>
      </w:hyperlink>
      <w:r>
        <w:t xml:space="preserve">: Real received perfection and non-exhaustion make fulfillment without partition or absorption intelligible.</w:t>
      </w:r>
    </w:p>
    <w:p>
      <w:pPr>
        <w:pStyle w:val="Compact"/>
        <w:numPr>
          <w:ilvl w:val="0"/>
          <w:numId w:val="1093"/>
        </w:numPr>
      </w:pPr>
      <w:hyperlink r:id="rId181">
        <w:r>
          <w:rPr>
            <w:rStyle w:val="Hyperlink"/>
          </w:rPr>
          <w:t xml:space="preserve">The Human Person</w:t>
        </w:r>
      </w:hyperlink>
      <w:r>
        <w:t xml:space="preserve">: Resurrection must concern the same embodied human subjects, not merely similar replacements.</w:t>
      </w:r>
    </w:p>
    <w:p>
      <w:pPr>
        <w:pStyle w:val="Compact"/>
        <w:numPr>
          <w:ilvl w:val="0"/>
          <w:numId w:val="1093"/>
        </w:numPr>
      </w:pPr>
      <w:hyperlink r:id="rId207">
        <w:r>
          <w:rPr>
            <w:rStyle w:val="Hyperlink"/>
          </w:rPr>
          <w:t xml:space="preserve">Grace, Prayer, and Deification</w:t>
        </w:r>
      </w:hyperlink>
      <w:r>
        <w:t xml:space="preserve">: Immediate communion requires gratuitous elevation rather than merely extending natural cognitive achievement.</w:t>
      </w:r>
    </w:p>
    <w:bookmarkEnd w:id="431"/>
    <w:bookmarkStart w:id="432" w:name="what-it-undertakes-to-establish-9"/>
    <w:p>
      <w:pPr>
        <w:pStyle w:val="Heading2"/>
      </w:pPr>
      <w:r>
        <w:t xml:space="preserve">What it undertakes to establish</w:t>
      </w:r>
    </w:p>
    <w:p>
      <w:pPr>
        <w:pStyle w:val="Compact"/>
        <w:numPr>
          <w:ilvl w:val="0"/>
          <w:numId w:val="1094"/>
        </w:numPr>
      </w:pPr>
      <w:r>
        <w:t xml:space="preserve">A Catholic account of resurrection, judgment, purification, heaven, and definitive exclusion, with their revealed status explicit.</w:t>
      </w:r>
    </w:p>
    <w:p>
      <w:pPr>
        <w:pStyle w:val="Compact"/>
        <w:numPr>
          <w:ilvl w:val="0"/>
          <w:numId w:val="1094"/>
        </w:numPr>
      </w:pPr>
      <w:r>
        <w:t xml:space="preserve">The distinction between immediately knowing God and comprehensively knowing God, including a critical limit on universal theories of mediation.</w:t>
      </w:r>
    </w:p>
    <w:p>
      <w:pPr>
        <w:pStyle w:val="Compact"/>
        <w:numPr>
          <w:ilvl w:val="0"/>
          <w:numId w:val="1094"/>
        </w:numPr>
      </w:pPr>
      <w:r>
        <w:t xml:space="preserve">An account of renewed creation and God all in all that preserves creaturely identity, moral history, and divine fullness.</w:t>
      </w:r>
    </w:p>
    <w:bookmarkEnd w:id="432"/>
    <w:bookmarkStart w:id="434" w:name="Xc5aea120442fdd046c5762b52e436352010976f"/>
    <w:p>
      <w:pPr>
        <w:pStyle w:val="Heading2"/>
      </w:pPr>
      <w:r>
        <w:t xml:space="preserve">The promise concerns this person and this embodied life</w:t>
      </w:r>
    </w:p>
    <w:p>
      <w:pPr>
        <w:pStyle w:val="FirstParagraph"/>
      </w:pPr>
      <w:r>
        <w:t xml:space="preserve">Status: Doctrinally received claim with a conditional philosophical model.</w:t>
      </w:r>
    </w:p>
    <w:p>
      <w:pPr>
        <w:pStyle w:val="BodyText"/>
      </w:pPr>
      <w:r>
        <w:t xml:space="preserve">Resurrection is not the production of a second individual with matching memories. If a perfect replica could coexist with the original, resemblance alone cannot establish numerical identity. Christian teaching promises that those who die are themselves raised, with their own bodies transformed rather than simply restored to mortal vulnerability (CCC 988–1004). The claim therefore requires continuity of the person, not merely continuity of information or the reassembly of exactly the same material particles.</w:t>
      </w:r>
    </w:p>
    <w:p>
      <w:pPr>
        <w:pStyle w:val="BodyText"/>
      </w:pPr>
      <w:r>
        <w:t xml:space="preserve">The Catholic account of the enduring spiritual soul supplies a principle of personal continuity through bodily death. Reunification must still be the restoration of this person’s embodied life; the survival of a soul by itself does not explain every question of bodily identity. Models invoking continued identity of the soul and God’s preservation of the person’s history offer a coherent proposal under those premises. They are not experimental descriptions of resurrection’s mechanism. The theological warrant comes from Christ’s resurrection and promise, while metaphysics tests whether the proposed continuity is more than a verbal assurance.</w:t>
      </w:r>
    </w:p>
    <w:bookmarkStart w:id="433" w:name="X8ef751bccef43470c8929e3cc4f781d6ed8aa99"/>
    <w:p>
      <w:pPr>
        <w:pStyle w:val="Heading3"/>
      </w:pPr>
      <w:r>
        <w:t xml:space="preserve">Restoration of one subject rather than duplication of a description</w:t>
      </w:r>
    </w:p>
    <w:p>
      <w:pPr>
        <w:pStyle w:val="FirstParagraph"/>
      </w:pPr>
      <w:r>
        <w:t xml:space="preserve">A conditional model within Catholic soul-body anthropology.</w:t>
      </w:r>
    </w:p>
    <w:p>
      <w:pPr>
        <w:pStyle w:val="BodyText"/>
      </w:pPr>
      <w:r>
        <w:t xml:space="preserve">Indispensable premises:</w:t>
      </w:r>
    </w:p>
    <w:p>
      <w:pPr>
        <w:pStyle w:val="Compact"/>
        <w:numPr>
          <w:ilvl w:val="0"/>
          <w:numId w:val="1095"/>
        </w:numPr>
      </w:pPr>
      <w:r>
        <w:t xml:space="preserve">The spiritual soul of this person persists through death.</w:t>
      </w:r>
    </w:p>
    <w:p>
      <w:pPr>
        <w:pStyle w:val="Compact"/>
        <w:numPr>
          <w:ilvl w:val="0"/>
          <w:numId w:val="1095"/>
        </w:numPr>
      </w:pPr>
      <w:r>
        <w:t xml:space="preserve">God reunites that same soul with a body that truly belongs to this person’s restored human life, rather than creating a second bearer of matching characteristics.</w:t>
      </w:r>
    </w:p>
    <w:p>
      <w:pPr>
        <w:pStyle w:val="FirstParagraph"/>
      </w:pPr>
      <w:r>
        <w:t xml:space="preserve">Why accept the passage?</w:t>
      </w:r>
    </w:p>
    <w:p>
      <w:pPr>
        <w:pStyle w:val="BodyText"/>
      </w:pPr>
      <w:r>
        <w:t xml:space="preserve">Numerical continuity of the subject supplies what qualitative resemblance alone cannot. Transformation can therefore change bodily conditions without replacing the person.</w:t>
      </w:r>
    </w:p>
    <w:p>
      <w:pPr>
        <w:pStyle w:val="BodyText"/>
      </w:pPr>
      <w:r>
        <w:t xml:space="preserve">The strongest rival is a duplicate satisfying every descriptive criterion. The model must appeal to actual continuity, not just God’s recognition of a pattern.</w:t>
      </w:r>
    </w:p>
    <w:p>
      <w:pPr>
        <w:pStyle w:val="BodyText"/>
      </w:pPr>
      <w:r>
        <w:t xml:space="preserve">What follows?</w:t>
      </w:r>
    </w:p>
    <w:p>
      <w:pPr>
        <w:pStyle w:val="BodyText"/>
      </w:pPr>
      <w:r>
        <w:t xml:space="preserve">Resurrection is intelligible as the transformation of the same embodied person under these premises.</w:t>
      </w:r>
    </w:p>
    <w:p>
      <w:pPr>
        <w:pStyle w:val="BodyText"/>
      </w:pPr>
      <w:r>
        <w:t xml:space="preserve">Remaining burden: The second premise requires a satisfactory account of bodily belonging and identity; the model neither proves resurrection occurs nor explains its physical manner.</w:t>
      </w:r>
    </w:p>
    <w:bookmarkEnd w:id="433"/>
    <w:bookmarkEnd w:id="434"/>
    <w:bookmarkStart w:id="436" w:name="X138b2749d95cec054f05f05443387e65b5cea40"/>
    <w:p>
      <w:pPr>
        <w:pStyle w:val="Heading2"/>
      </w:pPr>
      <w:r>
        <w:t xml:space="preserve">God himself can be seen without being contained by the seeing</w:t>
      </w:r>
    </w:p>
    <w:p>
      <w:pPr>
        <w:pStyle w:val="FirstParagraph"/>
      </w:pPr>
      <w:r>
        <w:t xml:space="preserve">Status: Doctrinally received vision; philosophical distinction.</w:t>
      </w:r>
    </w:p>
    <w:p>
      <w:pPr>
        <w:pStyle w:val="BodyText"/>
      </w:pPr>
      <w:r>
        <w:t xml:space="preserve">The beatific vision has God himself as its immediate object. CCC 1023 cites the teaching that the blessed see the divine essence without mediation by a creature. This excludes a created representation standing in as the final object of vision. It does not exclude created cognitive activity, supernatural elevation, or the creature’s continued dependence. The perfected act of knowing still belongs to a finite knower; the fullness known is not divided into finite pieces.</w:t>
      </w:r>
    </w:p>
    <w:p>
      <w:pPr>
        <w:pStyle w:val="BodyText"/>
      </w:pPr>
      <w:r>
        <w:t xml:space="preserve">Knowing immediately and knowing exhaustively answer different questions. Immediacy concerns how the object is present; comprehension would require knowing it as fully as it is knowable. The source’s infinity therefore need not force permanent absence behind representations. Conversely, being finite does not make immediate vision naturally achievable. God must grant the capacity for it (CCC 1028). The distinction makes the promise intelligible without deriving it from ordinary perception, nor making creaturely cognition equal to God’s own self-knowledge.</w:t>
      </w:r>
    </w:p>
    <w:bookmarkStart w:id="435" w:name="immediate-object-finite-act"/>
    <w:p>
      <w:pPr>
        <w:pStyle w:val="Heading3"/>
      </w:pPr>
      <w:r>
        <w:t xml:space="preserve">Immediate object, finite act</w:t>
      </w:r>
    </w:p>
    <w:p>
      <w:pPr>
        <w:pStyle w:val="FirstParagraph"/>
      </w:pPr>
      <w:r>
        <w:t xml:space="preserve">An argument for compatibility under the revealed promise of supernatural vision.</w:t>
      </w:r>
    </w:p>
    <w:p>
      <w:pPr>
        <w:pStyle w:val="BodyText"/>
      </w:pPr>
      <w:r>
        <w:t xml:space="preserve">Indispensable premises:</w:t>
      </w:r>
    </w:p>
    <w:p>
      <w:pPr>
        <w:pStyle w:val="Compact"/>
        <w:numPr>
          <w:ilvl w:val="0"/>
          <w:numId w:val="1096"/>
        </w:numPr>
      </w:pPr>
      <w:r>
        <w:t xml:space="preserve">God can immediately present himself to a created intellect and elevate it for that vision.</w:t>
      </w:r>
    </w:p>
    <w:p>
      <w:pPr>
        <w:pStyle w:val="Compact"/>
        <w:numPr>
          <w:ilvl w:val="0"/>
          <w:numId w:val="1096"/>
        </w:numPr>
      </w:pPr>
      <w:r>
        <w:t xml:space="preserve">An object’s immediate presence does not entail exhaustive realization of everything knowable about it in the knower’s act.</w:t>
      </w:r>
    </w:p>
    <w:p>
      <w:pPr>
        <w:pStyle w:val="FirstParagraph"/>
      </w:pPr>
      <w:r>
        <w:t xml:space="preserve">Why accept the passage?</w:t>
      </w:r>
    </w:p>
    <w:p>
      <w:pPr>
        <w:pStyle w:val="BodyText"/>
      </w:pPr>
      <w:r>
        <w:t xml:space="preserve">Mode of access and completeness of knowledge are distinct: neither numerical identity with the object nor equal cognitive capacity follows from its presence. The limitation can belong to the receiving act rather than to God.</w:t>
      </w:r>
    </w:p>
    <w:p>
      <w:pPr>
        <w:pStyle w:val="BodyText"/>
      </w:pPr>
      <w:r>
        <w:t xml:space="preserve">A rival theory makes every finite cognition essentially representative. It must defend that universal restriction; it cannot infer it simply from finitude.</w:t>
      </w:r>
    </w:p>
    <w:p>
      <w:pPr>
        <w:pStyle w:val="BodyText"/>
      </w:pPr>
      <w:r>
        <w:t xml:space="preserve">What follows?</w:t>
      </w:r>
    </w:p>
    <w:p>
      <w:pPr>
        <w:pStyle w:val="BodyText"/>
      </w:pPr>
      <w:r>
        <w:t xml:space="preserve">A finite intellect can see the indivisible God himself without becoming divine or comprehending God.</w:t>
      </w:r>
    </w:p>
    <w:p>
      <w:pPr>
        <w:pStyle w:val="BodyText"/>
      </w:pPr>
      <w:r>
        <w:t xml:space="preserve">Remaining burden: This establishes compatibility given supernatural elevation, not its natural possibility by unaided power or the truth of the revealed promise.</w:t>
      </w:r>
    </w:p>
    <w:bookmarkEnd w:id="435"/>
    <w:bookmarkEnd w:id="436"/>
    <w:bookmarkStart w:id="437" w:name="X5fecea4331200f245f9b84d5b5f15f36de51538"/>
    <w:p>
      <w:pPr>
        <w:pStyle w:val="Heading2"/>
      </w:pPr>
      <w:r>
        <w:t xml:space="preserve">A fruitful historical insight can require a real correction</w:t>
      </w:r>
    </w:p>
    <w:p>
      <w:pPr>
        <w:pStyle w:val="FirstParagraph"/>
      </w:pPr>
      <w:r>
        <w:t xml:space="preserve">Status: Historical comparison and doctrinal boundary.</w:t>
      </w:r>
    </w:p>
    <w:p>
      <w:pPr>
        <w:pStyle w:val="BodyText"/>
      </w:pPr>
      <w:r>
        <w:t xml:space="preserve">Eriugena offers an unusually rich account of theophany: divine manifestation becomes actual in the recipient according to the recipient’s capacity. In Periphyseon I.447D–448D, however, the discussion moves toward the claim that angels and the blessed contemplate theophanies formed in them rather than God himself in himself. The text’s use of incomprehensibility and its stronger restriction on vision must be distinguished. If the restriction makes created manifestation the necessary final object, it conflicts with the later Catholic teaching of immediate vision.</w:t>
      </w:r>
    </w:p>
    <w:p>
      <w:pPr>
        <w:pStyle w:val="BodyText"/>
      </w:pPr>
      <w:r>
        <w:t xml:space="preserve">A responsible development retrieves measured reception without simply attributing the later correction to Eriugena. His proposal shows why the recipient’s transformation matters; the doctrinal boundary shows why that transformation need not substitute a created object for God. Gregory of Nyssa’s theme of inexhaustible growth likewise offers an illuminating account of desire’s inexhaustible object. Whether particular forms of endless growth describe the blessed must be argued within the received teaching of definitive beatitude; they are not established merely by invoking divine infinity.</w:t>
      </w:r>
    </w:p>
    <w:bookmarkEnd w:id="437"/>
    <w:bookmarkStart w:id="438" w:name="Xc2f19691b7e34a5fd7b4ce18d724da3012fc696"/>
    <w:p>
      <w:pPr>
        <w:pStyle w:val="Heading2"/>
      </w:pPr>
      <w:r>
        <w:t xml:space="preserve">Healing does not erase the truth of what happened</w:t>
      </w:r>
    </w:p>
    <w:p>
      <w:pPr>
        <w:pStyle w:val="FirstParagraph"/>
      </w:pPr>
      <w:r>
        <w:t xml:space="preserve">Status: Doctrinally received judgment and purification; moral interpretation.</w:t>
      </w:r>
    </w:p>
    <w:p>
      <w:pPr>
        <w:pStyle w:val="BodyText"/>
      </w:pPr>
      <w:r>
        <w:t xml:space="preserve">Judgment brings lives into the truth of their relation to God and neighbor. The distinction between good and evil survives the gathering of history: betrayal does not become good because reconciliation followed, and victims do not become expendable means to a beautiful ending. Christian judgment therefore promises disclosure and justice as well as the defeat of death. Particular judgment and the final judgment are distinguished in Catholic teaching; their temporal and cosmic scope should not be compressed into one psychological metaphor (CCC 1021–1022; 1038–1041).</w:t>
      </w:r>
    </w:p>
    <w:p>
      <w:pPr>
        <w:pStyle w:val="BodyText"/>
      </w:pPr>
      <w:r>
        <w:t xml:space="preserve">Purgatory names the purification of those whose salvation is assured but whose transformation is not complete (CCC 1030–1032). It is not another opportunity to purchase God’s favor or a lesser form of damnation. The philosophical analogy is that reconciliation can be given while distorted loves still need healing. That analogy does not establish the revealed doctrine or describe its duration. Prayer for the dead expresses solidarity across death; charity seeks another’s completion without pretending that love makes every moral difference irrelevant.</w:t>
      </w:r>
    </w:p>
    <w:bookmarkEnd w:id="438"/>
    <w:bookmarkStart w:id="439" w:name="X836df05fa7a1d515cb25d97c9803902b87a27a8"/>
    <w:p>
      <w:pPr>
        <w:pStyle w:val="Heading2"/>
      </w:pPr>
      <w:r>
        <w:t xml:space="preserve">Hope must take both mercy and definitive refusal seriously</w:t>
      </w:r>
    </w:p>
    <w:p>
      <w:pPr>
        <w:pStyle w:val="FirstParagraph"/>
      </w:pPr>
      <w:r>
        <w:t xml:space="preserve">Status: Doctrinally received boundary with unresolved theological questions.</w:t>
      </w:r>
    </w:p>
    <w:p>
      <w:pPr>
        <w:pStyle w:val="BodyText"/>
      </w:pPr>
      <w:r>
        <w:t xml:space="preserve">Catholic teaching affirms hell and its eternity, describing its chief punishment as separation from God and its condition as definitive self-exclusion from communion (CCC 1033–1037). The point is not that God depends on obtaining enough participants to make divine love successful. It is that communion involves the person’s response, while divine judgment is real. God predestines no one to hell, and the Church prays that none be lost. Mercy and seriousness belong together.</w:t>
      </w:r>
    </w:p>
    <w:p>
      <w:pPr>
        <w:pStyle w:val="BodyText"/>
      </w:pPr>
      <w:r>
        <w:t xml:space="preserve">The permanence of such refusal cannot be demonstrated simply from the existence of free choice: ordinary free decisions can be revised. The theological account therefore requires further claims about death, final judgment, responsibility, and the definitive condition of persons. Nor does philosophical dependence establish who is lost or license judgments about particular individuals. A proposal of inevitable universal salvation and a proposal that every finite failure must be irreversible both need arguments beyond participation. Hope can remain expansive and prayer universal without declaring those disputed conclusions settled.</w:t>
      </w:r>
    </w:p>
    <w:bookmarkEnd w:id="439"/>
    <w:bookmarkStart w:id="440" w:name="Xd1df335cb2260ea87e00c13c1eb11610de40403"/>
    <w:p>
      <w:pPr>
        <w:pStyle w:val="Heading2"/>
      </w:pPr>
      <w:r>
        <w:t xml:space="preserve">Mary’s Assumption gives hope a bodily and personal form</w:t>
      </w:r>
    </w:p>
    <w:p>
      <w:pPr>
        <w:pStyle w:val="FirstParagraph"/>
      </w:pPr>
      <w:r>
        <w:t xml:space="preserve">Status: Doctrinally received Mariology.</w:t>
      </w:r>
    </w:p>
    <w:p>
      <w:pPr>
        <w:pStyle w:val="BodyText"/>
      </w:pPr>
      <w:r>
        <w:t xml:space="preserve">Mary’s Assumption is the taking up of the Mother of Jesus, body and soul, into heavenly glory. It is a singular participation in her Son’s resurrection and an anticipation of the resurrection of other Christians (CCC 966). Mary does not supply an alternative source of resurrection or become divine by nature. The grace that fulfills her is Christ’s gift, received in a real created life. Her glorification therefore gives concrete theological expression to fulfillment without absorption.</w:t>
      </w:r>
    </w:p>
    <w:p>
      <w:pPr>
        <w:pStyle w:val="BodyText"/>
      </w:pPr>
      <w:r>
        <w:t xml:space="preserve">Mary also appears as an image and beginning of the Church’s promised completion and a sign of hope for its pilgrimage (CCC 972). The Rosary places bodily and historical mysteries before the praying community, culminating in hope for glory. This connection should deepen attention to Christ and solidarity with vulnerable bodies, not make devotion a method for guaranteeing extraordinary outcomes. The particular doctrine of the Assumption is received on ecclesial warrant; it cannot be inferred merely because embodied fulfillment would be fitting.</w:t>
      </w:r>
    </w:p>
    <w:bookmarkEnd w:id="440"/>
    <w:bookmarkStart w:id="441" w:name="X000c8d31bcfab99f89024ff8fa78e65609ed6a0"/>
    <w:p>
      <w:pPr>
        <w:pStyle w:val="Heading2"/>
      </w:pPr>
      <w:r>
        <w:t xml:space="preserve">Fulfillment preserves created goods by transforming their condition</w:t>
      </w:r>
    </w:p>
    <w:p>
      <w:pPr>
        <w:pStyle w:val="FirstParagraph"/>
      </w:pPr>
      <w:r>
        <w:t xml:space="preserve">Status: Doctrinally received hope with constructive philosophical interpretation.</w:t>
      </w:r>
    </w:p>
    <w:p>
      <w:pPr>
        <w:pStyle w:val="BodyText"/>
      </w:pPr>
      <w:r>
        <w:t xml:space="preserve">The renewed creation is more than a collection of privately satisfied souls. Catholic teaching speaks of the universe transformed and the redeemed united in embodied communion (CCC 1042–1050). Bodily existence, friendship, truthful recognition, and shared life need not disappear because corruption and injustice are overcome. Some finite determinations make goods possible: a conversation requires distinct persons, and fidelity belongs to a real history. Removing every difference would destroy these goods rather than perfect them.</w:t>
      </w:r>
    </w:p>
    <w:p>
      <w:pPr>
        <w:pStyle w:val="BodyText"/>
      </w:pPr>
      <w:r>
        <w:t xml:space="preserve">This is not a promise that every present arrangement or preference survives unchanged. Created goods require purification, and the form of the coming world exceeds available description. The positive claim is that healing can distinguish constitutive finitude from privation: being created is not an injury, while death is proclaimed an enemy. Eschatological hope can therefore strengthen present responsibility for bodies, communities, and the earth. It does not convert political progress into the kingdom of God, nor excuse neglect because another world is promised.</w:t>
      </w:r>
    </w:p>
    <w:bookmarkEnd w:id="441"/>
    <w:bookmarkStart w:id="442" w:name="Xe119939b4bd32016526eb6e26707a53b8a2aab8"/>
    <w:p>
      <w:pPr>
        <w:pStyle w:val="Heading2"/>
      </w:pPr>
      <w:r>
        <w:t xml:space="preserve">God all in all names creation’s consummation, not God’s completion</w:t>
      </w:r>
    </w:p>
    <w:p>
      <w:pPr>
        <w:pStyle w:val="FirstParagraph"/>
      </w:pPr>
      <w:r>
        <w:t xml:space="preserve">Status: Scriptural-theological interpretation with explicit metaphysical premises.</w:t>
      </w:r>
    </w:p>
    <w:p>
      <w:pPr>
        <w:pStyle w:val="BodyText"/>
      </w:pPr>
      <w:r>
        <w:t xml:space="preserve">In 1 Corinthians 15, all in all belongs to Christ’s resurrection, reign, defeat of death, and handing over of the kingdom to the Father. It is not a claim that God and creatures become an aggregate, or that the divine essence acquires the world’s missing contribution. Given the independently defended account of divine plenitude, the new fullness is on the created side: communion, justice, embodied life, and the enjoyment of the good become actual for creatures without making God more divine.</w:t>
      </w:r>
    </w:p>
    <w:p>
      <w:pPr>
        <w:pStyle w:val="BodyText"/>
      </w:pPr>
      <w:r>
        <w:t xml:space="preserve">Calling God the All can express universal sourcehood only if the needed positive bridges are supplied. Underivation excludes a source of God’s actuality; it does not alone prove infinite possession of every pure perfection. Likewise, universal sourcehood does not establish every person’s final destiny. The Christian conclusion is stronger and more determinate than the abstract grammar: through Christ in the Spirit, the redeemed are brought into communion with the Father. The creature finally receives its fulfillment without becoming the source, and God gives without needing the gift in order to be complete.</w:t>
      </w:r>
    </w:p>
    <w:bookmarkEnd w:id="442"/>
    <w:bookmarkStart w:id="449" w:name="core-questions-and-answers-9"/>
    <w:p>
      <w:pPr>
        <w:pStyle w:val="Heading2"/>
      </w:pPr>
      <w:r>
        <w:t xml:space="preserve">Core questions and answers</w:t>
      </w:r>
    </w:p>
    <w:bookmarkStart w:id="443" w:name="X17829b04cffe094af2140588612f0c6e03be89e"/>
    <w:p>
      <w:pPr>
        <w:pStyle w:val="Heading3"/>
      </w:pPr>
      <w:r>
        <w:t xml:space="preserve">Why would resurrection be me rather than a perfect copy of me?</w:t>
      </w:r>
    </w:p>
    <w:p>
      <w:pPr>
        <w:pStyle w:val="FirstParagraph"/>
      </w:pPr>
      <w:r>
        <w:t xml:space="preserve">Because the promise concerns the restoration of the same person, and matching a description is not enough for that. A duplicate could share memories and appearance without being numerically identical to its original. Catholic teaching supplies an enduring spiritual soul and the restoration of this person’s embodied life as principles of continuity; the risen body is transformed without becoming somebody else’s body.</w:t>
      </w:r>
    </w:p>
    <w:p>
      <w:pPr>
        <w:pStyle w:val="BodyText"/>
      </w:pPr>
      <w:r>
        <w:t xml:space="preserve">These premises make a continuity model available, but a full philosophical account must explain why the restored body belongs to this continuing subject. God’s knowledge of a person’s pattern is not by itself that explanation. Resurrection is therefore a revealed promise whose metaphysical intelligibility can be clarified, not a result established by information storage or by bare causal power.</w:t>
      </w:r>
    </w:p>
    <w:bookmarkEnd w:id="443"/>
    <w:bookmarkStart w:id="444" w:name="X6cddbc49fb00288e6485d4603ced3eaaafa7668"/>
    <w:p>
      <w:pPr>
        <w:pStyle w:val="Heading3"/>
      </w:pPr>
      <w:r>
        <w:t xml:space="preserve">Continuing subject rather than recreated profile</w:t>
      </w:r>
    </w:p>
    <w:p>
      <w:pPr>
        <w:pStyle w:val="FirstParagraph"/>
      </w:pPr>
      <w:r>
        <w:t xml:space="preserve">Conditional upon Catholic soul-body anthropology and divine restoration.</w:t>
      </w:r>
    </w:p>
    <w:p>
      <w:pPr>
        <w:pStyle w:val="BodyText"/>
      </w:pPr>
      <w:r>
        <w:t xml:space="preserve">Indispensable premises:</w:t>
      </w:r>
    </w:p>
    <w:p>
      <w:pPr>
        <w:pStyle w:val="Compact"/>
        <w:numPr>
          <w:ilvl w:val="0"/>
          <w:numId w:val="1097"/>
        </w:numPr>
      </w:pPr>
      <w:r>
        <w:t xml:space="preserve">This person’s spiritual soul persists through death; its separated condition is not a complete embodied human life.</w:t>
      </w:r>
    </w:p>
    <w:p>
      <w:pPr>
        <w:pStyle w:val="Compact"/>
        <w:numPr>
          <w:ilvl w:val="0"/>
          <w:numId w:val="1097"/>
        </w:numPr>
      </w:pPr>
      <w:r>
        <w:t xml:space="preserve">The resurrection restores that person’s bodily life with genuine numerical continuity.</w:t>
      </w:r>
    </w:p>
    <w:p>
      <w:pPr>
        <w:pStyle w:val="FirstParagraph"/>
      </w:pPr>
      <w:r>
        <w:t xml:space="preserve">Why accept the passage?</w:t>
      </w:r>
    </w:p>
    <w:p>
      <w:pPr>
        <w:pStyle w:val="BodyText"/>
      </w:pPr>
      <w:r>
        <w:t xml:space="preserve">A retained subject can undergo transformation; a newly instantiated description can only establish similarity unless an additional identity relation is shown. The duplicate objection therefore tests whether the proposal has supplied continuity or merely renamed resemblance.</w:t>
      </w:r>
    </w:p>
    <w:p>
      <w:pPr>
        <w:pStyle w:val="BodyText"/>
      </w:pPr>
      <w:r>
        <w:t xml:space="preserve">What follows?</w:t>
      </w:r>
    </w:p>
    <w:p>
      <w:pPr>
        <w:pStyle w:val="BodyText"/>
      </w:pPr>
      <w:r>
        <w:t xml:space="preserve">Resurrection can be conceived as this person’s new embodied condition rather than the production of a replacement.</w:t>
      </w:r>
    </w:p>
    <w:p>
      <w:pPr>
        <w:pStyle w:val="BodyText"/>
      </w:pPr>
      <w:r>
        <w:t xml:space="preserve">Remaining burden: A satisfactory account of restored bodily identity remains necessary; philosophy alone does not establish that resurrection will occur.</w:t>
      </w:r>
    </w:p>
    <w:p>
      <w:pPr>
        <w:pStyle w:val="BodyText"/>
      </w:pPr>
      <w:hyperlink r:id="rId181">
        <w:r>
          <w:rPr>
            <w:rStyle w:val="Hyperlink"/>
          </w:rPr>
          <w:t xml:space="preserve">The embodied human person</w:t>
        </w:r>
      </w:hyperlink>
      <w:r>
        <w:t xml:space="preserve"> </w:t>
      </w:r>
      <w:r>
        <w:t xml:space="preserve">·</w:t>
      </w:r>
      <w:r>
        <w:t xml:space="preserve"> </w:t>
      </w:r>
      <w:hyperlink r:id="rId193">
        <w:r>
          <w:rPr>
            <w:rStyle w:val="Hyperlink"/>
          </w:rPr>
          <w:t xml:space="preserve">Identity and realization</w:t>
        </w:r>
      </w:hyperlink>
    </w:p>
    <w:bookmarkEnd w:id="444"/>
    <w:bookmarkStart w:id="445" w:name="X5d98c5459efedb147380e89f214923491c5a8c1"/>
    <w:p>
      <w:pPr>
        <w:pStyle w:val="Heading3"/>
      </w:pPr>
      <w:r>
        <w:t xml:space="preserve">How could a finite mind see an infinite God without reducing God to something finite?</w:t>
      </w:r>
    </w:p>
    <w:p>
      <w:pPr>
        <w:pStyle w:val="FirstParagraph"/>
      </w:pPr>
      <w:r>
        <w:t xml:space="preserve">The finite measure belongs to the act of the knower, not to a piece of God carved out for inspection. The promise is immediate vision of God himself through a capacity God gives. Immediate access does not entail exhaustive comprehension or equality with divine self-knowledge. Thus the object can be indivisible and inexhaustible while the creature’s act remains created and received.</w:t>
      </w:r>
    </w:p>
    <w:p>
      <w:pPr>
        <w:pStyle w:val="BodyText"/>
      </w:pPr>
      <w:r>
        <w:t xml:space="preserve">This distinction also limits the claim that all divine knowledge must pass through a created representation. Ordinary knowledge frequently uses signs and concepts; the beatific vision is not merely an improved sign standing in for an absent God. The compatibility argument depends on God’s ability to elevate finite intellect, which is a positive theological commitment rather than a consequence of finitude alone.</w:t>
      </w:r>
    </w:p>
    <w:bookmarkEnd w:id="445"/>
    <w:bookmarkStart w:id="446" w:name="Xd3bfbb9315504baee4298a78161fe98d426d89f"/>
    <w:p>
      <w:pPr>
        <w:pStyle w:val="Heading3"/>
      </w:pPr>
      <w:r>
        <w:t xml:space="preserve">Reception limits the knowing, not the source known</w:t>
      </w:r>
    </w:p>
    <w:p>
      <w:pPr>
        <w:pStyle w:val="FirstParagraph"/>
      </w:pPr>
      <w:r>
        <w:t xml:space="preserve">Revealed immediate vision clarified by a distinction between access and completeness.</w:t>
      </w:r>
    </w:p>
    <w:p>
      <w:pPr>
        <w:pStyle w:val="BodyText"/>
      </w:pPr>
      <w:r>
        <w:t xml:space="preserve">Indispensable premises:</w:t>
      </w:r>
    </w:p>
    <w:p>
      <w:pPr>
        <w:pStyle w:val="Compact"/>
        <w:numPr>
          <w:ilvl w:val="0"/>
          <w:numId w:val="1098"/>
        </w:numPr>
      </w:pPr>
      <w:r>
        <w:t xml:space="preserve">God can elevate a created intellect to see God himself.</w:t>
      </w:r>
    </w:p>
    <w:p>
      <w:pPr>
        <w:pStyle w:val="Compact"/>
        <w:numPr>
          <w:ilvl w:val="0"/>
          <w:numId w:val="1098"/>
        </w:numPr>
      </w:pPr>
      <w:r>
        <w:t xml:space="preserve">Finite reception of an object does not entail finite partition of the object or exhaustive cognition of it.</w:t>
      </w:r>
    </w:p>
    <w:p>
      <w:pPr>
        <w:pStyle w:val="FirstParagraph"/>
      </w:pPr>
      <w:r>
        <w:t xml:space="preserve">Why accept the passage?</w:t>
      </w:r>
    </w:p>
    <w:p>
      <w:pPr>
        <w:pStyle w:val="BodyText"/>
      </w:pPr>
      <w:r>
        <w:t xml:space="preserve">The inference from limited knowledge to a limited object confuses the receiver’s mode with the object’s intrinsic constitution. A theory excluding immediate vision needs an additional universal premise about cognition, not merely the finitude of the mind.</w:t>
      </w:r>
    </w:p>
    <w:p>
      <w:pPr>
        <w:pStyle w:val="BodyText"/>
      </w:pPr>
      <w:r>
        <w:t xml:space="preserve">What follows?</w:t>
      </w:r>
    </w:p>
    <w:p>
      <w:pPr>
        <w:pStyle w:val="BodyText"/>
      </w:pPr>
      <w:r>
        <w:t xml:space="preserve">Seeing God and remaining a finite creature are compatible, without reducing the final object to a representation.</w:t>
      </w:r>
    </w:p>
    <w:p>
      <w:pPr>
        <w:pStyle w:val="BodyText"/>
      </w:pPr>
      <w:r>
        <w:t xml:space="preserve">Remaining burden: Neither the natural attainability of vision nor the particular way God grants it is demonstrated by this distinction.</w:t>
      </w:r>
    </w:p>
    <w:p>
      <w:pPr>
        <w:pStyle w:val="BodyText"/>
      </w:pPr>
      <w:hyperlink r:id="rId190">
        <w:r>
          <w:rPr>
            <w:rStyle w:val="Hyperlink"/>
          </w:rPr>
          <w:t xml:space="preserve">Manifestation and warranted access</w:t>
        </w:r>
      </w:hyperlink>
      <w:r>
        <w:t xml:space="preserve"> </w:t>
      </w:r>
      <w:r>
        <w:t xml:space="preserve">·</w:t>
      </w:r>
      <w:r>
        <w:t xml:space="preserve"> </w:t>
      </w:r>
      <w:hyperlink r:id="rId207">
        <w:r>
          <w:rPr>
            <w:rStyle w:val="Hyperlink"/>
          </w:rPr>
          <w:t xml:space="preserve">Grace and deification</w:t>
        </w:r>
      </w:hyperlink>
    </w:p>
    <w:bookmarkEnd w:id="446"/>
    <w:bookmarkStart w:id="447" w:name="X0dc4d8bfec07681cb5fa8cd60f53f60494f95eb"/>
    <w:p>
      <w:pPr>
        <w:pStyle w:val="Heading3"/>
      </w:pPr>
      <w:r>
        <w:t xml:space="preserve">Does God all in all mean that everything becomes God or that everyone must be saved?</w:t>
      </w:r>
    </w:p>
    <w:p>
      <w:pPr>
        <w:pStyle w:val="FirstParagraph"/>
      </w:pPr>
      <w:r>
        <w:t xml:space="preserve">Neither conclusion follows from the phrase alone. Its Pauline setting concerns Christ’s victory and the consummation of God’s reign. Participation permits a real transformation of creation while retaining the distinction between source and participant. God does not become an aggregate of perfected creatures; created communion is perfected because God gives, not because deity was incomplete.</w:t>
      </w:r>
    </w:p>
    <w:p>
      <w:pPr>
        <w:pStyle w:val="BodyText"/>
      </w:pPr>
      <w:r>
        <w:t xml:space="preserve">Universal salvation is a further theological question. Catholic teaching includes judgment, purification, the eternity of hell, God’s universal saving will, and prayer that none be lost. These commitments must be considered together rather than allowing one expression to cancel the others. The atlas therefore joins universal prayer and expansive hope to the seriousness of freedom and judgment without claiming knowledge of every person’s final condition.</w:t>
      </w:r>
    </w:p>
    <w:bookmarkEnd w:id="447"/>
    <w:bookmarkStart w:id="448" w:name="X4cfcc871ec54553b6a16486ff51d16784158993"/>
    <w:p>
      <w:pPr>
        <w:pStyle w:val="Heading3"/>
      </w:pPr>
      <w:r>
        <w:t xml:space="preserve">Universal sourcehood is not identity or a complete account of final destinies</w:t>
      </w:r>
    </w:p>
    <w:p>
      <w:pPr>
        <w:pStyle w:val="FirstParagraph"/>
      </w:pPr>
      <w:r>
        <w:t xml:space="preserve">Scriptural and doctrinal interpretation under non-pantheistic participation.</w:t>
      </w:r>
    </w:p>
    <w:p>
      <w:pPr>
        <w:pStyle w:val="BodyText"/>
      </w:pPr>
      <w:r>
        <w:t xml:space="preserve">Indispensable premises:</w:t>
      </w:r>
    </w:p>
    <w:p>
      <w:pPr>
        <w:pStyle w:val="Compact"/>
        <w:numPr>
          <w:ilvl w:val="0"/>
          <w:numId w:val="1099"/>
        </w:numPr>
      </w:pPr>
      <w:r>
        <w:t xml:space="preserve">The source gives created actuality without becoming a constituent completed by it.</w:t>
      </w:r>
    </w:p>
    <w:p>
      <w:pPr>
        <w:pStyle w:val="Compact"/>
        <w:numPr>
          <w:ilvl w:val="0"/>
          <w:numId w:val="1099"/>
        </w:numPr>
      </w:pPr>
      <w:r>
        <w:t xml:space="preserve">The Pauline consummation is interpreted within the revealed economy of Christ, judgment, and communion.</w:t>
      </w:r>
    </w:p>
    <w:p>
      <w:pPr>
        <w:pStyle w:val="FirstParagraph"/>
      </w:pPr>
      <w:r>
        <w:t xml:space="preserve">Why accept the passage?</w:t>
      </w:r>
    </w:p>
    <w:p>
      <w:pPr>
        <w:pStyle w:val="BodyText"/>
      </w:pPr>
      <w:r>
        <w:t xml:space="preserve">Universal dependence specifies where created actuality comes from; it does not abolish its created mode. A claim about the final condition of every person requires premises about grace, freedom, and judgment beyond that dependence relation.</w:t>
      </w:r>
    </w:p>
    <w:p>
      <w:pPr>
        <w:pStyle w:val="BodyText"/>
      </w:pPr>
      <w:r>
        <w:t xml:space="preserve">What follows?</w:t>
      </w:r>
    </w:p>
    <w:p>
      <w:pPr>
        <w:pStyle w:val="BodyText"/>
      </w:pPr>
      <w:r>
        <w:t xml:space="preserve">God all in all can name consummating divine presence without absorption or an automatic theorem of universal salvation.</w:t>
      </w:r>
    </w:p>
    <w:p>
      <w:pPr>
        <w:pStyle w:val="BodyText"/>
      </w:pPr>
      <w:r>
        <w:t xml:space="preserve">Remaining burden: This interpretation does not resolve every dispute about the scope of hope or the definitive refusal of grace.</w:t>
      </w:r>
    </w:p>
    <w:p>
      <w:pPr>
        <w:pStyle w:val="BodyText"/>
      </w:pPr>
      <w:hyperlink r:id="rId160">
        <w:r>
          <w:rPr>
            <w:rStyle w:val="Hyperlink"/>
          </w:rPr>
          <w:t xml:space="preserve">Participation without identity</w:t>
        </w:r>
      </w:hyperlink>
      <w:r>
        <w:t xml:space="preserve"> </w:t>
      </w:r>
      <w:r>
        <w:t xml:space="preserve">·</w:t>
      </w:r>
      <w:r>
        <w:t xml:space="preserve"> </w:t>
      </w:r>
      <w:hyperlink r:id="rId211">
        <w:r>
          <w:rPr>
            <w:rStyle w:val="Hyperlink"/>
          </w:rPr>
          <w:t xml:space="preserve">Providence and evil</w:t>
        </w:r>
      </w:hyperlink>
    </w:p>
    <w:bookmarkEnd w:id="448"/>
    <w:bookmarkEnd w:id="449"/>
    <w:bookmarkStart w:id="456" w:name="sources-and-precise-use-9"/>
    <w:p>
      <w:pPr>
        <w:pStyle w:val="Heading2"/>
      </w:pPr>
      <w:r>
        <w:t xml:space="preserve">Sources and precise use</w:t>
      </w:r>
    </w:p>
    <w:bookmarkStart w:id="450" w:name="X5e68c4ffabace137a69a2dc599a5bdde4f83404"/>
    <w:p>
      <w:pPr>
        <w:pStyle w:val="Heading3"/>
      </w:pPr>
      <w:r>
        <w:t xml:space="preserve">Catholic Church: Catechism of the Catholic Church</w:t>
      </w:r>
    </w:p>
    <w:p>
      <w:pPr>
        <w:pStyle w:val="FirstParagraph"/>
      </w:pPr>
      <w:r>
        <w:t xml:space="preserve">Locus: 988–1004; 1020–1050: resurrection, judgment, heaven, purification, hell, and renewed creation.</w:t>
      </w:r>
    </w:p>
    <w:p>
      <w:pPr>
        <w:pStyle w:val="BodyText"/>
      </w:pPr>
      <w:r>
        <w:t xml:space="preserve">Status: Supplied primary text: selected passage consulted.</w:t>
      </w:r>
    </w:p>
    <w:p>
      <w:pPr>
        <w:pStyle w:val="BodyText"/>
      </w:pPr>
      <w:r>
        <w:t xml:space="preserve">Contribution: The principal doctrinal boundaries, including bodily identity, immediate vision, definitive judgment, and cosmic renewal.</w:t>
      </w:r>
    </w:p>
    <w:p>
      <w:pPr>
        <w:pStyle w:val="BodyText"/>
      </w:pPr>
      <w:r>
        <w:t xml:space="preserve">Limit: The text does not provide a physical mechanism of resurrection or one complete philosophical account of identity and cognition.</w:t>
      </w:r>
    </w:p>
    <w:p>
      <w:pPr>
        <w:pStyle w:val="BodyText"/>
      </w:pPr>
      <w:r>
        <w:t xml:space="preserve">Source/provenance: https://www.vatican.va/archive/ENG0015/_INDEX.HTM</w:t>
      </w:r>
    </w:p>
    <w:bookmarkEnd w:id="450"/>
    <w:bookmarkStart w:id="451" w:name="Xbfa44b0e0adc8e50298a5f07c8faf9d7cc5b8ae"/>
    <w:p>
      <w:pPr>
        <w:pStyle w:val="Heading3"/>
      </w:pPr>
      <w:r>
        <w:t xml:space="preserve">Catholic Church: Catechism of the Catholic Church</w:t>
      </w:r>
    </w:p>
    <w:p>
      <w:pPr>
        <w:pStyle w:val="FirstParagraph"/>
      </w:pPr>
      <w:r>
        <w:t xml:space="preserve">Locus: 966; 972: Mary’s Assumption and eschatological hope.</w:t>
      </w:r>
    </w:p>
    <w:p>
      <w:pPr>
        <w:pStyle w:val="BodyText"/>
      </w:pPr>
      <w:r>
        <w:t xml:space="preserve">Status: Supplied primary text: selected passage consulted.</w:t>
      </w:r>
    </w:p>
    <w:p>
      <w:pPr>
        <w:pStyle w:val="BodyText"/>
      </w:pPr>
      <w:r>
        <w:t xml:space="preserve">Contribution: Mary’s bodily glorification is received from Christ, anticipates resurrection, and signifies the Church’s promised fulfillment.</w:t>
      </w:r>
    </w:p>
    <w:p>
      <w:pPr>
        <w:pStyle w:val="BodyText"/>
      </w:pPr>
      <w:r>
        <w:t xml:space="preserve">Limit: The Assumption is doctrinally received, not deduced from a generic principle of participation or fittingness.</w:t>
      </w:r>
    </w:p>
    <w:p>
      <w:pPr>
        <w:pStyle w:val="BodyText"/>
      </w:pPr>
      <w:r>
        <w:t xml:space="preserve">Source/provenance: https://www.vatican.va/archive/ENG0015/_INDEX.HTM</w:t>
      </w:r>
    </w:p>
    <w:bookmarkEnd w:id="451"/>
    <w:bookmarkStart w:id="452" w:name="paul-the-apostle-first-corinthians"/>
    <w:p>
      <w:pPr>
        <w:pStyle w:val="Heading3"/>
      </w:pPr>
      <w:r>
        <w:t xml:space="preserve">Paul the Apostle: First Corinthians</w:t>
      </w:r>
    </w:p>
    <w:p>
      <w:pPr>
        <w:pStyle w:val="FirstParagraph"/>
      </w:pPr>
      <w:r>
        <w:t xml:space="preserve">Locus: 15:20–28, 35–57; considered through the supplied Catechism’s resurrection and consummation passages.</w:t>
      </w:r>
    </w:p>
    <w:p>
      <w:pPr>
        <w:pStyle w:val="BodyText"/>
      </w:pPr>
      <w:r>
        <w:t xml:space="preserve">Status: Inherited consultation through the supplied Catechism; full passage is a primary reading lead.</w:t>
      </w:r>
    </w:p>
    <w:p>
      <w:pPr>
        <w:pStyle w:val="BodyText"/>
      </w:pPr>
      <w:r>
        <w:t xml:space="preserve">Contribution: Christ’s resurrection, defeat of death, transformed bodily life, and the Christological setting of all in all.</w:t>
      </w:r>
    </w:p>
    <w:p>
      <w:pPr>
        <w:pStyle w:val="BodyText"/>
      </w:pPr>
      <w:r>
        <w:t xml:space="preserve">Limit: The linked biblical text was not freshly retrieved for this page; the Catechism’s quotations and interpretation were inspected. The phrase alone does not resolve every eschatological question.</w:t>
      </w:r>
    </w:p>
    <w:p>
      <w:pPr>
        <w:pStyle w:val="BodyText"/>
      </w:pPr>
      <w:r>
        <w:t xml:space="preserve">Source/provenance: https://bible.usccb.org/bible/1corinthians/15</w:t>
      </w:r>
    </w:p>
    <w:bookmarkEnd w:id="452"/>
    <w:bookmarkStart w:id="453" w:name="Xbc67ba29dda6b37a35c6cf7606a1bdae17284ef"/>
    <w:p>
      <w:pPr>
        <w:pStyle w:val="Heading3"/>
      </w:pPr>
      <w:r>
        <w:t xml:space="preserve">John Scotus Eriugena: Periphyseon, translated by I. P. Sheldon-Williams, revised by John J. O’Meara, 1987</w:t>
      </w:r>
    </w:p>
    <w:p>
      <w:pPr>
        <w:pStyle w:val="FirstParagraph"/>
      </w:pPr>
      <w:r>
        <w:t xml:space="preserve">Locus: I.447D–448D.</w:t>
      </w:r>
    </w:p>
    <w:p>
      <w:pPr>
        <w:pStyle w:val="BodyText"/>
      </w:pPr>
      <w:r>
        <w:t xml:space="preserve">Status: Supplied primary text: selected passage consulted.</w:t>
      </w:r>
    </w:p>
    <w:p>
      <w:pPr>
        <w:pStyle w:val="BodyText"/>
      </w:pPr>
      <w:r>
        <w:t xml:space="preserve">Contribution: Recipient-relative theophany and the explicit problem of whether final vision is of God himself or of manifestations formed in the knower.</w:t>
      </w:r>
    </w:p>
    <w:p>
      <w:pPr>
        <w:pStyle w:val="BodyText"/>
      </w:pPr>
      <w:r>
        <w:t xml:space="preserve">Limit: The link leads to the site’s historical companion, not the uploaded edition. The restriction to theophanies creates a real tension with immediate vision and is not silently harmonized.</w:t>
      </w:r>
    </w:p>
    <w:p>
      <w:pPr>
        <w:pStyle w:val="BodyText"/>
      </w:pPr>
      <w:r>
        <w:t xml:space="preserve">Source/provenance: https://participation-6o4.pages.dev/research/eastern-metaphysics.md</w:t>
      </w:r>
    </w:p>
    <w:bookmarkEnd w:id="453"/>
    <w:bookmarkStart w:id="454" w:name="gregory-of-nyssa-the-life-of-moses"/>
    <w:p>
      <w:pPr>
        <w:pStyle w:val="Heading3"/>
      </w:pPr>
      <w:r>
        <w:t xml:space="preserve">Gregory of Nyssa: The Life of Moses</w:t>
      </w:r>
    </w:p>
    <w:p>
      <w:pPr>
        <w:pStyle w:val="FirstParagraph"/>
      </w:pPr>
      <w:r>
        <w:t xml:space="preserve">Locus: II.225–239: divine inexhaustibility and the movement of desire.</w:t>
      </w:r>
    </w:p>
    <w:p>
      <w:pPr>
        <w:pStyle w:val="BodyText"/>
      </w:pPr>
      <w:r>
        <w:t xml:space="preserve">Status: Unverified reading lead; historical theme inherited from the project’s research.</w:t>
      </w:r>
    </w:p>
    <w:p>
      <w:pPr>
        <w:pStyle w:val="BodyText"/>
      </w:pPr>
      <w:r>
        <w:t xml:space="preserve">Contribution: A historically important resource for thinking about fulfillment without exhaustive possession of God.</w:t>
      </w:r>
    </w:p>
    <w:p>
      <w:pPr>
        <w:pStyle w:val="BodyText"/>
      </w:pPr>
      <w:r>
        <w:t xml:space="preserve">Limit: No fresh primary-text verification is claimed here. Particular theories of endless eschatological growth are not presented as settled Catholic doctrine.</w:t>
      </w:r>
    </w:p>
    <w:p>
      <w:pPr>
        <w:pStyle w:val="BodyText"/>
      </w:pPr>
      <w:r>
        <w:t xml:space="preserve">Source/provenance: https://participation-6o4.pages.dev/research/ancient-patristic.md</w:t>
      </w:r>
    </w:p>
    <w:bookmarkEnd w:id="454"/>
    <w:bookmarkStart w:id="455" w:name="X2560a5a6929750e2f21579e4b4d363120a9160f"/>
    <w:p>
      <w:pPr>
        <w:pStyle w:val="Heading3"/>
      </w:pPr>
      <w:r>
        <w:t xml:space="preserve">Project manuscript supplied by the author: Being-First and Measured Manifestation: Definitive Synthetic Edition</w:t>
      </w:r>
    </w:p>
    <w:p>
      <w:pPr>
        <w:pStyle w:val="FirstParagraph"/>
      </w:pPr>
      <w:r>
        <w:t xml:space="preserve">Locus: Chapters 20 and 29–30; project source-method note.</w:t>
      </w:r>
    </w:p>
    <w:p>
      <w:pPr>
        <w:pStyle w:val="BodyText"/>
      </w:pPr>
      <w:r>
        <w:t xml:space="preserve">Status: Supplied constructive manuscript: selected chapters consulted.</w:t>
      </w:r>
    </w:p>
    <w:p>
      <w:pPr>
        <w:pStyle w:val="BodyText"/>
      </w:pPr>
      <w:r>
        <w:t xml:space="preserve">Contribution: Immediate vision without comprehension, the limit of universal mediation, divine plenitude without creaturely completion, and the distinction between the All and all in all.</w:t>
      </w:r>
    </w:p>
    <w:p>
      <w:pPr>
        <w:pStyle w:val="BodyText"/>
      </w:pPr>
      <w:r>
        <w:t xml:space="preserve">Limit: These are constructive arguments whose positive premises remain explicit. The link identifies provenance and source method; it is not the complete uploaded manuscript.</w:t>
      </w:r>
    </w:p>
    <w:p>
      <w:pPr>
        <w:pStyle w:val="BodyText"/>
      </w:pPr>
      <w:r>
        <w:t xml:space="preserve">Source/provenance: https://participation-6o4.pages.dev/research/atlas/source-method.md</w:t>
      </w:r>
    </w:p>
    <w:bookmarkEnd w:id="455"/>
    <w:bookmarkEnd w:id="456"/>
    <w:bookmarkStart w:id="458" w:name="where-this-argument-matters-9"/>
    <w:p>
      <w:pPr>
        <w:pStyle w:val="Heading2"/>
      </w:pPr>
      <w:r>
        <w:t xml:space="preserve">Where this argument matters</w:t>
      </w:r>
    </w:p>
    <w:p>
      <w:pPr>
        <w:pStyle w:val="Compact"/>
        <w:numPr>
          <w:ilvl w:val="0"/>
          <w:numId w:val="1100"/>
        </w:numPr>
      </w:pPr>
      <w:hyperlink r:id="rId457">
        <w:r>
          <w:rPr>
            <w:rStyle w:val="Hyperlink"/>
          </w:rPr>
          <w:t xml:space="preserve">Mary, Mother of God</w:t>
        </w:r>
      </w:hyperlink>
      <w:r>
        <w:t xml:space="preserve">: Her promised fulfillment is intelligible through the identity of the Son and the humanity he truly assumes.</w:t>
      </w:r>
    </w:p>
    <w:p>
      <w:pPr>
        <w:pStyle w:val="Compact"/>
        <w:numPr>
          <w:ilvl w:val="0"/>
          <w:numId w:val="1100"/>
        </w:numPr>
      </w:pPr>
      <w:hyperlink r:id="rId271">
        <w:r>
          <w:rPr>
            <w:rStyle w:val="Hyperlink"/>
          </w:rPr>
          <w:t xml:space="preserve">The Rosary: Contemplating Christ with Mary</w:t>
        </w:r>
      </w:hyperlink>
      <w:r>
        <w:t xml:space="preserve">: Prayer carries the mysteries of embodied redemption into the Church’s present life of hope.</w:t>
      </w:r>
    </w:p>
    <w:p>
      <w:pPr>
        <w:pStyle w:val="Compact"/>
        <w:numPr>
          <w:ilvl w:val="0"/>
          <w:numId w:val="1100"/>
        </w:numPr>
      </w:pPr>
      <w:hyperlink r:id="rId224">
        <w:r>
          <w:rPr>
            <w:rStyle w:val="Hyperlink"/>
          </w:rPr>
          <w:t xml:space="preserve">Church, Sacrament, and Liturgy</w:t>
        </w:r>
      </w:hyperlink>
      <w:r>
        <w:t xml:space="preserve">: Present sacramental communion anticipates a completion it does not yet display without remainder.</w:t>
      </w:r>
    </w:p>
    <w:bookmarkEnd w:id="458"/>
    <w:bookmarkEnd w:id="459"/>
    <w:sectPr w:rsidR="00FC693F" w:rsidRPr="0006063C" w:rsidSect="00034616">
      <w:headerReference w:type="default" r:id="rId9"/>
      <w:footerReference w:type="default" r:id="rId10"/>
      <w:pgSz w:h="15840" w:w="12240"/>
      <w:pgMar w:bottom="1152" w:footer="720" w:gutter="0" w:header="720" w:left="1224" w:right="1224" w:top="1152"/>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October 14, 2026 · Main reports and core Q&amp;A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 THIRTEEN INVESTIGATIONS</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69" w:lineRule="auto"/>
    </w:pPr>
    <w:rPr>
      <w:rFonts w:ascii="Cambria" w:hAnsi="Cambri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300"/>
      <w:outlineLvl w:val="0"/>
    </w:pPr>
    <w:rPr>
      <w:rFonts w:ascii="Georgia" w:asciiTheme="majorHAnsi" w:cstheme="majorBidi" w:eastAsiaTheme="majorEastAsia" w:hAnsi="Georgia" w:hAnsiTheme="majorHAnsi"/>
      <w:b/>
      <w:bCs/>
      <w:color w:val="234441"/>
      <w:sz w:val="46"/>
      <w:szCs w:val="28"/>
    </w:rPr>
  </w:style>
  <w:style w:styleId="Heading2" w:type="paragraph">
    <w:name w:val="heading 2"/>
    <w:basedOn w:val="Normal"/>
    <w:next w:val="Normal"/>
    <w:link w:val="Heading2Char"/>
    <w:uiPriority w:val="9"/>
    <w:unhideWhenUsed/>
    <w:qFormat/>
    <w:rsid w:val="00FC693F"/>
    <w:pPr>
      <w:keepNext/>
      <w:keepLines/>
      <w:spacing w:after="0" w:before="300"/>
      <w:outlineLvl w:val="1"/>
    </w:pPr>
    <w:rPr>
      <w:rFonts w:ascii="Georgia" w:asciiTheme="majorHAnsi" w:cstheme="majorBidi" w:eastAsiaTheme="majorEastAsia" w:hAnsi="Georgia" w:hAnsiTheme="majorHAnsi"/>
      <w:b/>
      <w:bCs/>
      <w:color w:val="234441"/>
      <w:sz w:val="34"/>
      <w:szCs w:val="26"/>
    </w:rPr>
  </w:style>
  <w:style w:styleId="Heading3" w:type="paragraph">
    <w:name w:val="heading 3"/>
    <w:basedOn w:val="Normal"/>
    <w:next w:val="Normal"/>
    <w:link w:val="Heading3Char"/>
    <w:uiPriority w:val="9"/>
    <w:unhideWhenUsed/>
    <w:qFormat/>
    <w:rsid w:val="00FC693F"/>
    <w:pPr>
      <w:keepNext/>
      <w:keepLines/>
      <w:spacing w:after="0" w:before="300"/>
      <w:outlineLvl w:val="2"/>
    </w:pPr>
    <w:rPr>
      <w:rFonts w:ascii="Georgia" w:asciiTheme="majorHAnsi" w:cstheme="majorBidi" w:eastAsiaTheme="majorEastAsia" w:hAnsi="Georgia" w:hAnsiTheme="majorHAnsi"/>
      <w:b/>
      <w:bCs/>
      <w:color w:val="234441"/>
      <w:sz w:val="26"/>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69" w:lineRule="auto"/>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17" Type="http://schemas.openxmlformats.org/officeDocument/2006/relationships/hyperlink" Target="/" TargetMode="External"/><Relationship Id="rId67" Type="http://schemas.openxmlformats.org/officeDocument/2006/relationships/hyperlink" Target="/#basis" TargetMode="External"/><Relationship Id="rId68" Type="http://schemas.openxmlformats.org/officeDocument/2006/relationships/hyperlink" Target="/#derivations" TargetMode="External"/><Relationship Id="rId107" Type="http://schemas.openxmlformats.org/officeDocument/2006/relationships/hyperlink" Target="/#freedom" TargetMode="External"/><Relationship Id="rId71" Type="http://schemas.openxmlformats.org/officeDocument/2006/relationships/hyperlink" Target="/#history" TargetMode="External"/><Relationship Id="rId74" Type="http://schemas.openxmlformats.org/officeDocument/2006/relationships/hyperlink" Target="/#laboratory" TargetMode="External"/><Relationship Id="rId66" Type="http://schemas.openxmlformats.org/officeDocument/2006/relationships/hyperlink" Target="/#participation" TargetMode="External"/><Relationship Id="rId118" Type="http://schemas.openxmlformats.org/officeDocument/2006/relationships/hyperlink" Target="/beyond-participation/" TargetMode="External"/><Relationship Id="rId110" Type="http://schemas.openxmlformats.org/officeDocument/2006/relationships/hyperlink" Target="/beyond-participation/#agency" TargetMode="External"/><Relationship Id="rId106" Type="http://schemas.openxmlformats.org/officeDocument/2006/relationships/hyperlink" Target="/beyond-participation/#contingency" TargetMode="External"/><Relationship Id="rId151" Type="http://schemas.openxmlformats.org/officeDocument/2006/relationships/hyperlink" Target="/beyond-participation/#knowledge" TargetMode="External"/><Relationship Id="rId103" Type="http://schemas.openxmlformats.org/officeDocument/2006/relationships/hyperlink" Target="/beyond-participation/#map" TargetMode="External"/><Relationship Id="rId102" Type="http://schemas.openxmlformats.org/officeDocument/2006/relationships/hyperlink" Target="/beyond-participation/#simplicity" TargetMode="External"/><Relationship Id="rId111" Type="http://schemas.openxmlformats.org/officeDocument/2006/relationships/hyperlink" Target="/beyond-participation/#specification" TargetMode="External"/><Relationship Id="rId146" Type="http://schemas.openxmlformats.org/officeDocument/2006/relationships/hyperlink" Target="/real-difference/#cases" TargetMode="External"/><Relationship Id="rId112" Type="http://schemas.openxmlformats.org/officeDocument/2006/relationships/hyperlink" Target="/real-difference/#exercise" TargetMode="External"/><Relationship Id="rId154" Type="http://schemas.openxmlformats.org/officeDocument/2006/relationships/hyperlink" Target="/real-difference/#finite-good" TargetMode="External"/><Relationship Id="rId150" Type="http://schemas.openxmlformats.org/officeDocument/2006/relationships/hyperlink" Target="/real-difference/#knowledge" TargetMode="External"/><Relationship Id="rId147" Type="http://schemas.openxmlformats.org/officeDocument/2006/relationships/hyperlink" Target="/real-difference/#stops" TargetMode="External"/><Relationship Id="rId155" Type="http://schemas.openxmlformats.org/officeDocument/2006/relationships/hyperlink" Target="/real-difference/#voices" TargetMode="External"/><Relationship Id="rId59" Type="http://schemas.openxmlformats.org/officeDocument/2006/relationships/hyperlink" Target="/research/ancient-patristic.md" TargetMode="External"/><Relationship Id="rId95" Type="http://schemas.openxmlformats.org/officeDocument/2006/relationships/hyperlink" Target="/research/beyond-sources.md" TargetMode="External"/><Relationship Id="rId94" Type="http://schemas.openxmlformats.org/officeDocument/2006/relationships/hyperlink" Target="/research/eastern-metaphysics.md" TargetMode="External"/><Relationship Id="rId139" Type="http://schemas.openxmlformats.org/officeDocument/2006/relationships/hyperlink" Target="/research/reading-guide.md" TargetMode="External"/><Relationship Id="rId121" Type="http://schemas.openxmlformats.org/officeDocument/2006/relationships/hyperlink" Target="/research/real-difference-formal.md" TargetMode="External"/><Relationship Id="rId142" Type="http://schemas.openxmlformats.org/officeDocument/2006/relationships/hyperlink" Target="/research/real-difference-ledger.json" TargetMode="External"/><Relationship Id="rId140" Type="http://schemas.openxmlformats.org/officeDocument/2006/relationships/hyperlink" Target="/research/real-difference-report.md" TargetMode="External"/><Relationship Id="rId141" Type="http://schemas.openxmlformats.org/officeDocument/2006/relationships/hyperlink" Target="/research/real-difference-sources.md" TargetMode="External"/><Relationship Id="rId61" Type="http://schemas.openxmlformats.org/officeDocument/2006/relationships/hyperlink" Target="ancient-patristic.md" TargetMode="External"/><Relationship Id="rId64" Type="http://schemas.openxmlformats.org/officeDocument/2006/relationships/hyperlink" Target="aquinas-scotus-newman.md" TargetMode="External"/><Relationship Id="rId100" Type="http://schemas.openxmlformats.org/officeDocument/2006/relationships/hyperlink" Target="beyond-development.md" TargetMode="External"/><Relationship Id="rId98" Type="http://schemas.openxmlformats.org/officeDocument/2006/relationships/hyperlink" Target="beyond-formal.md" TargetMode="External"/><Relationship Id="rId99" Type="http://schemas.openxmlformats.org/officeDocument/2006/relationships/hyperlink" Target="beyond-sources.md" TargetMode="External"/><Relationship Id="rId62" Type="http://schemas.openxmlformats.org/officeDocument/2006/relationships/hyperlink" Target="eastern-metaphysics.md" TargetMode="External"/><Relationship Id="rId60" Type="http://schemas.openxmlformats.org/officeDocument/2006/relationships/hyperlink" Target="formal-architecture.md" TargetMode="External"/><Relationship Id="rId143" Type="http://schemas.openxmlformats.org/officeDocument/2006/relationships/hyperlink" Target="https://doi.org/10.1177/00211400221144750" TargetMode="External"/><Relationship Id="rId50" Type="http://schemas.openxmlformats.org/officeDocument/2006/relationships/hyperlink" Target="https://github.com/latin-ocr/monologiumetpro00ansegoog" TargetMode="External"/><Relationship Id="rId160" Type="http://schemas.openxmlformats.org/officeDocument/2006/relationships/hyperlink" Target="https://participation-6o4.pages.dev/" TargetMode="External"/><Relationship Id="rId161" Type="http://schemas.openxmlformats.org/officeDocument/2006/relationships/hyperlink" Target="https://participation-6o4.pages.dev/beyond-participation/" TargetMode="External"/><Relationship Id="rId224" Type="http://schemas.openxmlformats.org/officeDocument/2006/relationships/hyperlink" Target="https://participation-6o4.pages.dev/church-and-sacrament/" TargetMode="External"/><Relationship Id="rId325" Type="http://schemas.openxmlformats.org/officeDocument/2006/relationships/hyperlink" Target="https://participation-6o4.pages.dev/goodness-and-fulfillment/" TargetMode="External"/><Relationship Id="rId207" Type="http://schemas.openxmlformats.org/officeDocument/2006/relationships/hyperlink" Target="https://participation-6o4.pages.dev/grace-and-prayer/" TargetMode="External"/><Relationship Id="rId391" Type="http://schemas.openxmlformats.org/officeDocument/2006/relationships/hyperlink" Target="https://participation-6o4.pages.dev/grace-and-prayer/#cooperation" TargetMode="External"/><Relationship Id="rId271" Type="http://schemas.openxmlformats.org/officeDocument/2006/relationships/hyperlink" Target="https://participation-6o4.pages.dev/grace-and-prayer/#rosary" TargetMode="External"/><Relationship Id="rId181" Type="http://schemas.openxmlformats.org/officeDocument/2006/relationships/hyperlink" Target="https://participation-6o4.pages.dev/human-person/" TargetMode="External"/><Relationship Id="rId223" Type="http://schemas.openxmlformats.org/officeDocument/2006/relationships/hyperlink" Target="https://participation-6o4.pages.dev/incarnation/" TargetMode="External"/><Relationship Id="rId457" Type="http://schemas.openxmlformats.org/officeDocument/2006/relationships/hyperlink" Target="https://participation-6o4.pages.dev/incarnation/#mary-theotokos" TargetMode="External"/><Relationship Id="rId190" Type="http://schemas.openxmlformats.org/officeDocument/2006/relationships/hyperlink" Target="https://participation-6o4.pages.dev/manifestation-and-revelation/" TargetMode="External"/><Relationship Id="rId210" Type="http://schemas.openxmlformats.org/officeDocument/2006/relationships/hyperlink" Target="https://participation-6o4.pages.dev/manifestation-and-revelation/#miracle-testimony" TargetMode="External"/><Relationship Id="rId211" Type="http://schemas.openxmlformats.org/officeDocument/2006/relationships/hyperlink" Target="https://participation-6o4.pages.dev/providence-and-evil/" TargetMode="External"/><Relationship Id="rId162" Type="http://schemas.openxmlformats.org/officeDocument/2006/relationships/hyperlink" Target="https://participation-6o4.pages.dev/real-difference/" TargetMode="External"/><Relationship Id="rId193" Type="http://schemas.openxmlformats.org/officeDocument/2006/relationships/hyperlink" Target="https://participation-6o4.pages.dev/reality-and-relation/" TargetMode="External"/><Relationship Id="rId214" Type="http://schemas.openxmlformats.org/officeDocument/2006/relationships/hyperlink" Target="https://participation-6o4.pages.dev/resurrection-and-beatitude/" TargetMode="External"/><Relationship Id="rId176" Type="http://schemas.openxmlformats.org/officeDocument/2006/relationships/hyperlink" Target="https://participation-6o4.pages.dev/trinity/" TargetMode="External"/><Relationship Id="rId58" Type="http://schemas.openxmlformats.org/officeDocument/2006/relationships/hyperlink" Target="https://plato.stanford.edu/entries/analogy-medieval/" TargetMode="External"/><Relationship Id="rId91" Type="http://schemas.openxmlformats.org/officeDocument/2006/relationships/hyperlink" Target="https://plato.stanford.edu/entries/anselm/" TargetMode="External"/><Relationship Id="rId92" Type="http://schemas.openxmlformats.org/officeDocument/2006/relationships/hyperlink" Target="https://plato.stanford.edu/entries/divine-simplicity/" TargetMode="External"/><Relationship Id="rId90" Type="http://schemas.openxmlformats.org/officeDocument/2006/relationships/hyperlink" Target="https://plato.stanford.edu/entries/duns-scotus/" TargetMode="External"/><Relationship Id="rId57" Type="http://schemas.openxmlformats.org/officeDocument/2006/relationships/hyperlink" Target="https://plato.stanford.edu/entries/henry-ghent/" TargetMode="External"/><Relationship Id="rId93" Type="http://schemas.openxmlformats.org/officeDocument/2006/relationships/hyperlink" Target="https://plato.stanford.edu/entries/omniscience/" TargetMode="External"/><Relationship Id="rId56" Type="http://schemas.openxmlformats.org/officeDocument/2006/relationships/hyperlink" Target="https://plato.stanford.edu/entries/pseudo-dionysius-areopagite/" TargetMode="External"/><Relationship Id="rId52" Type="http://schemas.openxmlformats.org/officeDocument/2006/relationships/hyperlink" Target="https://raw.githubusercontent.com/GITenberg/An-Essay-on-the-Development-of-Christian-Doctrine_35110/master/35110-0.txt" TargetMode="External"/><Relationship Id="rId48" Type="http://schemas.openxmlformats.org/officeDocument/2006/relationships/hyperlink" Target="https://raw.githubusercontent.com/GITenberg/Parmenides_1687/master/1687.txt" TargetMode="External"/><Relationship Id="rId44" Type="http://schemas.openxmlformats.org/officeDocument/2006/relationships/hyperlink" Target="https://raw.githubusercontent.com/GITenberg/Plotinos--Complete-Works-v.-1In-Chronological-Order-Grouped-in-Four-Periods_42930/master/42930-h/42930-h.htm" TargetMode="External"/><Relationship Id="rId53" Type="http://schemas.openxmlformats.org/officeDocument/2006/relationships/hyperlink" Target="https://raw.githubusercontent.com/GITenberg/St-John-Damascene-on-Holy-Images-0x3c00x3c10x3bf0x3c2-0x3c40x3bf0x3c50x3c2-0x3b40x3b90x3b10x3__49917/master/49917-8.txt" TargetMode="External"/><Relationship Id="rId51" Type="http://schemas.openxmlformats.org/officeDocument/2006/relationships/hyperlink" Target="https://raw.githubusercontent.com/GITenberg/Summa-Theologica-Part-I--Prima-Pars-From-the-Complete-American-Edition_17611/master/17611.txt" TargetMode="External"/><Relationship Id="rId49" Type="http://schemas.openxmlformats.org/officeDocument/2006/relationships/hyperlink" Target="https://raw.githubusercontent.com/GITenberg/The-City-of-God-Volume-I_45304/master/45304-h/45304-h.htm" TargetMode="External"/><Relationship Id="rId43" Type="http://schemas.openxmlformats.org/officeDocument/2006/relationships/hyperlink" Target="https://raw.githubusercontent.com/PerseusDL/canonical-greekLit/master/data/tlg0086/tlg025/tlg0086.tlg025.perseus-eng2.xml" TargetMode="External"/><Relationship Id="rId46" Type="http://schemas.openxmlformats.org/officeDocument/2006/relationships/hyperlink" Target="https://raw.githubusercontent.com/calfa-co/Patrologia-Graeca/5895ab908dd4cac5ee06cfc0e36f2ef77723e143/PG003/PG003_text.txt" TargetMode="External"/><Relationship Id="rId54" Type="http://schemas.openxmlformats.org/officeDocument/2006/relationships/hyperlink" Target="https://raw.githubusercontent.com/md-mq/philo2vec/0d2351d43723f0d4a1fa662557626adb31a822ad/data/data.zip" TargetMode="External"/><Relationship Id="rId47" Type="http://schemas.openxmlformats.org/officeDocument/2006/relationships/hyperlink" Target="https://raw.githubusercontent.com/robertvsiii/maximus-confessor/5ef8d8b33bb7e16576f4b5445db7ee07541aff9f/texts/maximus/maximus_confessor.ambigua_iohannem.tess" TargetMode="External"/><Relationship Id="rId45" Type="http://schemas.openxmlformats.org/officeDocument/2006/relationships/hyperlink" Target="https://raw.githubusercontent.com/standardebooks/gregory-of-nyssa_on-the-making-of-man_william-moore_henry-austin-wilson/master/src/epub/text/chapter-16.xhtml" TargetMode="External"/><Relationship Id="rId55" Type="http://schemas.openxmlformats.org/officeDocument/2006/relationships/hyperlink" Target="https://www.newadvent.org/fathers/" TargetMode="External"/><Relationship Id="rId63" Type="http://schemas.openxmlformats.org/officeDocument/2006/relationships/hyperlink" Target="latin-exemplarism.md" TargetMode="External"/><Relationship Id="rId27" Type="http://schemas.openxmlformats.org/officeDocument/2006/relationships/hyperlink" Target="reading-guide.md"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17" Type="http://schemas.openxmlformats.org/officeDocument/2006/relationships/hyperlink" Target="/" TargetMode="External"/><Relationship Id="rId67" Type="http://schemas.openxmlformats.org/officeDocument/2006/relationships/hyperlink" Target="/#basis" TargetMode="External"/><Relationship Id="rId68" Type="http://schemas.openxmlformats.org/officeDocument/2006/relationships/hyperlink" Target="/#derivations" TargetMode="External"/><Relationship Id="rId107" Type="http://schemas.openxmlformats.org/officeDocument/2006/relationships/hyperlink" Target="/#freedom" TargetMode="External"/><Relationship Id="rId71" Type="http://schemas.openxmlformats.org/officeDocument/2006/relationships/hyperlink" Target="/#history" TargetMode="External"/><Relationship Id="rId74" Type="http://schemas.openxmlformats.org/officeDocument/2006/relationships/hyperlink" Target="/#laboratory" TargetMode="External"/><Relationship Id="rId66" Type="http://schemas.openxmlformats.org/officeDocument/2006/relationships/hyperlink" Target="/#participation" TargetMode="External"/><Relationship Id="rId118" Type="http://schemas.openxmlformats.org/officeDocument/2006/relationships/hyperlink" Target="/beyond-participation/" TargetMode="External"/><Relationship Id="rId110" Type="http://schemas.openxmlformats.org/officeDocument/2006/relationships/hyperlink" Target="/beyond-participation/#agency" TargetMode="External"/><Relationship Id="rId106" Type="http://schemas.openxmlformats.org/officeDocument/2006/relationships/hyperlink" Target="/beyond-participation/#contingency" TargetMode="External"/><Relationship Id="rId151" Type="http://schemas.openxmlformats.org/officeDocument/2006/relationships/hyperlink" Target="/beyond-participation/#knowledge" TargetMode="External"/><Relationship Id="rId103" Type="http://schemas.openxmlformats.org/officeDocument/2006/relationships/hyperlink" Target="/beyond-participation/#map" TargetMode="External"/><Relationship Id="rId102" Type="http://schemas.openxmlformats.org/officeDocument/2006/relationships/hyperlink" Target="/beyond-participation/#simplicity" TargetMode="External"/><Relationship Id="rId111" Type="http://schemas.openxmlformats.org/officeDocument/2006/relationships/hyperlink" Target="/beyond-participation/#specification" TargetMode="External"/><Relationship Id="rId146" Type="http://schemas.openxmlformats.org/officeDocument/2006/relationships/hyperlink" Target="/real-difference/#cases" TargetMode="External"/><Relationship Id="rId112" Type="http://schemas.openxmlformats.org/officeDocument/2006/relationships/hyperlink" Target="/real-difference/#exercise" TargetMode="External"/><Relationship Id="rId154" Type="http://schemas.openxmlformats.org/officeDocument/2006/relationships/hyperlink" Target="/real-difference/#finite-good" TargetMode="External"/><Relationship Id="rId150" Type="http://schemas.openxmlformats.org/officeDocument/2006/relationships/hyperlink" Target="/real-difference/#knowledge" TargetMode="External"/><Relationship Id="rId147" Type="http://schemas.openxmlformats.org/officeDocument/2006/relationships/hyperlink" Target="/real-difference/#stops" TargetMode="External"/><Relationship Id="rId155" Type="http://schemas.openxmlformats.org/officeDocument/2006/relationships/hyperlink" Target="/real-difference/#voices" TargetMode="External"/><Relationship Id="rId59" Type="http://schemas.openxmlformats.org/officeDocument/2006/relationships/hyperlink" Target="/research/ancient-patristic.md" TargetMode="External"/><Relationship Id="rId95" Type="http://schemas.openxmlformats.org/officeDocument/2006/relationships/hyperlink" Target="/research/beyond-sources.md" TargetMode="External"/><Relationship Id="rId94" Type="http://schemas.openxmlformats.org/officeDocument/2006/relationships/hyperlink" Target="/research/eastern-metaphysics.md" TargetMode="External"/><Relationship Id="rId139" Type="http://schemas.openxmlformats.org/officeDocument/2006/relationships/hyperlink" Target="/research/reading-guide.md" TargetMode="External"/><Relationship Id="rId121" Type="http://schemas.openxmlformats.org/officeDocument/2006/relationships/hyperlink" Target="/research/real-difference-formal.md" TargetMode="External"/><Relationship Id="rId142" Type="http://schemas.openxmlformats.org/officeDocument/2006/relationships/hyperlink" Target="/research/real-difference-ledger.json" TargetMode="External"/><Relationship Id="rId140" Type="http://schemas.openxmlformats.org/officeDocument/2006/relationships/hyperlink" Target="/research/real-difference-report.md" TargetMode="External"/><Relationship Id="rId141" Type="http://schemas.openxmlformats.org/officeDocument/2006/relationships/hyperlink" Target="/research/real-difference-sources.md" TargetMode="External"/><Relationship Id="rId61" Type="http://schemas.openxmlformats.org/officeDocument/2006/relationships/hyperlink" Target="ancient-patristic.md" TargetMode="External"/><Relationship Id="rId64" Type="http://schemas.openxmlformats.org/officeDocument/2006/relationships/hyperlink" Target="aquinas-scotus-newman.md" TargetMode="External"/><Relationship Id="rId100" Type="http://schemas.openxmlformats.org/officeDocument/2006/relationships/hyperlink" Target="beyond-development.md" TargetMode="External"/><Relationship Id="rId98" Type="http://schemas.openxmlformats.org/officeDocument/2006/relationships/hyperlink" Target="beyond-formal.md" TargetMode="External"/><Relationship Id="rId99" Type="http://schemas.openxmlformats.org/officeDocument/2006/relationships/hyperlink" Target="beyond-sources.md" TargetMode="External"/><Relationship Id="rId62" Type="http://schemas.openxmlformats.org/officeDocument/2006/relationships/hyperlink" Target="eastern-metaphysics.md" TargetMode="External"/><Relationship Id="rId60" Type="http://schemas.openxmlformats.org/officeDocument/2006/relationships/hyperlink" Target="formal-architecture.md" TargetMode="External"/><Relationship Id="rId143" Type="http://schemas.openxmlformats.org/officeDocument/2006/relationships/hyperlink" Target="https://doi.org/10.1177/00211400221144750" TargetMode="External"/><Relationship Id="rId50" Type="http://schemas.openxmlformats.org/officeDocument/2006/relationships/hyperlink" Target="https://github.com/latin-ocr/monologiumetpro00ansegoog" TargetMode="External"/><Relationship Id="rId160" Type="http://schemas.openxmlformats.org/officeDocument/2006/relationships/hyperlink" Target="https://participation-6o4.pages.dev/" TargetMode="External"/><Relationship Id="rId161" Type="http://schemas.openxmlformats.org/officeDocument/2006/relationships/hyperlink" Target="https://participation-6o4.pages.dev/beyond-participation/" TargetMode="External"/><Relationship Id="rId224" Type="http://schemas.openxmlformats.org/officeDocument/2006/relationships/hyperlink" Target="https://participation-6o4.pages.dev/church-and-sacrament/" TargetMode="External"/><Relationship Id="rId325" Type="http://schemas.openxmlformats.org/officeDocument/2006/relationships/hyperlink" Target="https://participation-6o4.pages.dev/goodness-and-fulfillment/" TargetMode="External"/><Relationship Id="rId207" Type="http://schemas.openxmlformats.org/officeDocument/2006/relationships/hyperlink" Target="https://participation-6o4.pages.dev/grace-and-prayer/" TargetMode="External"/><Relationship Id="rId391" Type="http://schemas.openxmlformats.org/officeDocument/2006/relationships/hyperlink" Target="https://participation-6o4.pages.dev/grace-and-prayer/#cooperation" TargetMode="External"/><Relationship Id="rId271" Type="http://schemas.openxmlformats.org/officeDocument/2006/relationships/hyperlink" Target="https://participation-6o4.pages.dev/grace-and-prayer/#rosary" TargetMode="External"/><Relationship Id="rId181" Type="http://schemas.openxmlformats.org/officeDocument/2006/relationships/hyperlink" Target="https://participation-6o4.pages.dev/human-person/" TargetMode="External"/><Relationship Id="rId223" Type="http://schemas.openxmlformats.org/officeDocument/2006/relationships/hyperlink" Target="https://participation-6o4.pages.dev/incarnation/" TargetMode="External"/><Relationship Id="rId457" Type="http://schemas.openxmlformats.org/officeDocument/2006/relationships/hyperlink" Target="https://participation-6o4.pages.dev/incarnation/#mary-theotokos" TargetMode="External"/><Relationship Id="rId190" Type="http://schemas.openxmlformats.org/officeDocument/2006/relationships/hyperlink" Target="https://participation-6o4.pages.dev/manifestation-and-revelation/" TargetMode="External"/><Relationship Id="rId210" Type="http://schemas.openxmlformats.org/officeDocument/2006/relationships/hyperlink" Target="https://participation-6o4.pages.dev/manifestation-and-revelation/#miracle-testimony" TargetMode="External"/><Relationship Id="rId211" Type="http://schemas.openxmlformats.org/officeDocument/2006/relationships/hyperlink" Target="https://participation-6o4.pages.dev/providence-and-evil/" TargetMode="External"/><Relationship Id="rId162" Type="http://schemas.openxmlformats.org/officeDocument/2006/relationships/hyperlink" Target="https://participation-6o4.pages.dev/real-difference/" TargetMode="External"/><Relationship Id="rId193" Type="http://schemas.openxmlformats.org/officeDocument/2006/relationships/hyperlink" Target="https://participation-6o4.pages.dev/reality-and-relation/" TargetMode="External"/><Relationship Id="rId214" Type="http://schemas.openxmlformats.org/officeDocument/2006/relationships/hyperlink" Target="https://participation-6o4.pages.dev/resurrection-and-beatitude/" TargetMode="External"/><Relationship Id="rId176" Type="http://schemas.openxmlformats.org/officeDocument/2006/relationships/hyperlink" Target="https://participation-6o4.pages.dev/trinity/" TargetMode="External"/><Relationship Id="rId58" Type="http://schemas.openxmlformats.org/officeDocument/2006/relationships/hyperlink" Target="https://plato.stanford.edu/entries/analogy-medieval/" TargetMode="External"/><Relationship Id="rId91" Type="http://schemas.openxmlformats.org/officeDocument/2006/relationships/hyperlink" Target="https://plato.stanford.edu/entries/anselm/" TargetMode="External"/><Relationship Id="rId92" Type="http://schemas.openxmlformats.org/officeDocument/2006/relationships/hyperlink" Target="https://plato.stanford.edu/entries/divine-simplicity/" TargetMode="External"/><Relationship Id="rId90" Type="http://schemas.openxmlformats.org/officeDocument/2006/relationships/hyperlink" Target="https://plato.stanford.edu/entries/duns-scotus/" TargetMode="External"/><Relationship Id="rId57" Type="http://schemas.openxmlformats.org/officeDocument/2006/relationships/hyperlink" Target="https://plato.stanford.edu/entries/henry-ghent/" TargetMode="External"/><Relationship Id="rId93" Type="http://schemas.openxmlformats.org/officeDocument/2006/relationships/hyperlink" Target="https://plato.stanford.edu/entries/omniscience/" TargetMode="External"/><Relationship Id="rId56" Type="http://schemas.openxmlformats.org/officeDocument/2006/relationships/hyperlink" Target="https://plato.stanford.edu/entries/pseudo-dionysius-areopagite/" TargetMode="External"/><Relationship Id="rId52" Type="http://schemas.openxmlformats.org/officeDocument/2006/relationships/hyperlink" Target="https://raw.githubusercontent.com/GITenberg/An-Essay-on-the-Development-of-Christian-Doctrine_35110/master/35110-0.txt" TargetMode="External"/><Relationship Id="rId48" Type="http://schemas.openxmlformats.org/officeDocument/2006/relationships/hyperlink" Target="https://raw.githubusercontent.com/GITenberg/Parmenides_1687/master/1687.txt" TargetMode="External"/><Relationship Id="rId44" Type="http://schemas.openxmlformats.org/officeDocument/2006/relationships/hyperlink" Target="https://raw.githubusercontent.com/GITenberg/Plotinos--Complete-Works-v.-1In-Chronological-Order-Grouped-in-Four-Periods_42930/master/42930-h/42930-h.htm" TargetMode="External"/><Relationship Id="rId53" Type="http://schemas.openxmlformats.org/officeDocument/2006/relationships/hyperlink" Target="https://raw.githubusercontent.com/GITenberg/St-John-Damascene-on-Holy-Images-0x3c00x3c10x3bf0x3c2-0x3c40x3bf0x3c50x3c2-0x3b40x3b90x3b10x3__49917/master/49917-8.txt" TargetMode="External"/><Relationship Id="rId51" Type="http://schemas.openxmlformats.org/officeDocument/2006/relationships/hyperlink" Target="https://raw.githubusercontent.com/GITenberg/Summa-Theologica-Part-I--Prima-Pars-From-the-Complete-American-Edition_17611/master/17611.txt" TargetMode="External"/><Relationship Id="rId49" Type="http://schemas.openxmlformats.org/officeDocument/2006/relationships/hyperlink" Target="https://raw.githubusercontent.com/GITenberg/The-City-of-God-Volume-I_45304/master/45304-h/45304-h.htm" TargetMode="External"/><Relationship Id="rId43" Type="http://schemas.openxmlformats.org/officeDocument/2006/relationships/hyperlink" Target="https://raw.githubusercontent.com/PerseusDL/canonical-greekLit/master/data/tlg0086/tlg025/tlg0086.tlg025.perseus-eng2.xml" TargetMode="External"/><Relationship Id="rId46" Type="http://schemas.openxmlformats.org/officeDocument/2006/relationships/hyperlink" Target="https://raw.githubusercontent.com/calfa-co/Patrologia-Graeca/5895ab908dd4cac5ee06cfc0e36f2ef77723e143/PG003/PG003_text.txt" TargetMode="External"/><Relationship Id="rId54" Type="http://schemas.openxmlformats.org/officeDocument/2006/relationships/hyperlink" Target="https://raw.githubusercontent.com/md-mq/philo2vec/0d2351d43723f0d4a1fa662557626adb31a822ad/data/data.zip" TargetMode="External"/><Relationship Id="rId47" Type="http://schemas.openxmlformats.org/officeDocument/2006/relationships/hyperlink" Target="https://raw.githubusercontent.com/robertvsiii/maximus-confessor/5ef8d8b33bb7e16576f4b5445db7ee07541aff9f/texts/maximus/maximus_confessor.ambigua_iohannem.tess" TargetMode="External"/><Relationship Id="rId45" Type="http://schemas.openxmlformats.org/officeDocument/2006/relationships/hyperlink" Target="https://raw.githubusercontent.com/standardebooks/gregory-of-nyssa_on-the-making-of-man_william-moore_henry-austin-wilson/master/src/epub/text/chapter-16.xhtml" TargetMode="External"/><Relationship Id="rId55" Type="http://schemas.openxmlformats.org/officeDocument/2006/relationships/hyperlink" Target="https://www.newadvent.org/fathers/" TargetMode="External"/><Relationship Id="rId63" Type="http://schemas.openxmlformats.org/officeDocument/2006/relationships/hyperlink" Target="latin-exemplarism.md" TargetMode="External"/><Relationship Id="rId27" Type="http://schemas.openxmlformats.org/officeDocument/2006/relationships/hyperlink" Target="reading-guide.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The Thirteen-Page Philosophical Atlas</dc:title>
  <dc:creator>Participation Research Project</dc:creator>
  <dc:language>en-US</dc:language>
  <cp:keywords/>
  <dcterms:created xsi:type="dcterms:W3CDTF">2026-10-14T20:30:28Z</dcterms:created>
  <dcterms:modified xsi:type="dcterms:W3CDTF">2026-10-14T20:30:28Z</dcterms:modified>
  <dc:subject>Thirteen main investigations, thirty-nine core answers, argument bridges and source qualifications</dc:subject>
</cp:coreProperties>
</file>

<file path=docProps/custom.xml><?xml version="1.0" encoding="utf-8"?>
<Properties xmlns="http://schemas.openxmlformats.org/officeDocument/2006/custom-properties" xmlns:vt="http://schemas.openxmlformats.org/officeDocument/2006/docPropsVTypes"/>
</file>