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Divine Agency</w:t>
      </w:r>
    </w:p>
    <w:p>
      <w:pPr>
        <w:pStyle w:val="Subtitle"/>
      </w:pPr>
      <w:r>
        <w:t xml:space="preserve">Simplicity and Free Creation | Complete website backup</w:t>
      </w:r>
    </w:p>
    <w:p>
      <w:pPr>
        <w:pStyle w:val="Date"/>
      </w:pPr>
      <w:r>
        <w:t xml:space="preserve">October 14, 2026</w:t>
      </w:r>
    </w:p>
    <w:p>
      <w:pPr>
        <w:pStyle w:val="Heading1"/>
      </w:pPr>
      <w:r>
        <w:t xml:space="preserve">Contents</w:t>
      </w:r>
    </w:p>
    <w:p>
      <w:pPr>
        <w:pStyle w:val="FirstParagraph"/>
      </w:pPr>
      <w:r>
        <w:t xml:space="preserve">How to use this backup</w:t>
      </w:r>
    </w:p>
    <w:p>
      <w:pPr>
        <w:pStyle w:val="BodyText"/>
      </w:pPr>
      <w:r>
        <w:t xml:space="preserve">Website article</w:t>
      </w:r>
    </w:p>
    <w:p>
      <w:pPr>
        <w:pStyle w:val="BodyText"/>
      </w:pPr>
      <w:r>
        <w:t xml:space="preserve">Interactive material — complete static record</w:t>
      </w:r>
    </w:p>
    <w:p>
      <w:pPr>
        <w:pStyle w:val="BodyText"/>
      </w:pPr>
      <w:r>
        <w:t xml:space="preserve">Appendix A — real-difference-report.md</w:t>
      </w:r>
    </w:p>
    <w:p>
      <w:pPr>
        <w:pStyle w:val="BodyText"/>
      </w:pPr>
      <w:r>
        <w:t xml:space="preserve">Appendix B — real-difference-formal.md</w:t>
      </w:r>
    </w:p>
    <w:p>
      <w:pPr>
        <w:pStyle w:val="BodyText"/>
      </w:pPr>
      <w:r>
        <w:t xml:space="preserve">Appendix C — real-difference-sources.md</w:t>
      </w:r>
    </w:p>
    <w:p>
      <w:pPr>
        <w:pStyle w:val="BodyText"/>
      </w:pPr>
      <w:r>
        <w:t xml:space="preserve">Appendix D — real-difference-ledger.json</w:t>
      </w:r>
    </w:p>
    <w:p>
      <w:pPr>
        <w:pStyle w:val="BodyText"/>
      </w:pPr>
      <w:r>
        <w:t xml:space="preserve">Appendix E — reading-guide.md</w:t>
      </w:r>
    </w:p>
    <w:p>
      <w:pPr>
        <w:pStyle w:val="Heading1"/>
      </w:pPr>
      <w:r>
        <w:t xml:space="preserve">How to use this backup</w:t>
      </w:r>
    </w:p>
    <w:p>
      <w:pPr>
        <w:pStyle w:val="FirstParagraph"/>
      </w:pPr>
      <w:r>
        <w:t xml:space="preserve">This document preserves the complete readable website article, all substantive interactive examples, and its project research files. It uses the revised terminology about divine action and agency. The website’s historical consultation limits and conditional claims are retained throughout.</w:t>
      </w:r>
    </w:p>
    <w:p>
      <w:pPr>
        <w:pStyle w:val="BodyText"/>
      </w:pPr>
      <w:r>
        <w:t xml:space="preserve">Original page: https:/​/​participation-​6o4.​pages.​dev/​real-​difference/​</w:t>
      </w:r>
    </w:p>
    <w:p>
      <w:pPr>
        <w:pStyle w:val="BodyText"/>
      </w:pPr>
      <w:r>
        <w:t xml:space="preserve">Backup snapshot: October 14, 2026 (America/Los_Angeles). The interactive controls are represented by complete static explanations; this document can be read without the website.</w:t>
      </w:r>
    </w:p>
    <w:p>
      <w:pPr>
        <w:pStyle w:val="Heading1"/>
      </w:pPr>
      <w:r>
        <w:t xml:space="preserve">Website article</w:t>
      </w:r>
    </w:p>
    <w:p>
      <w:pPr>
        <w:pStyle w:val="FirstParagraph"/>
      </w:pPr>
      <w:r>
        <w:t xml:space="preserve">PART III / DIVINE AGENCY AND FREE CREATION</w:t>
      </w:r>
    </w:p>
    <w:p>
      <w:pPr>
        <w:pStyle w:val="BodyText"/>
      </w:pPr>
      <w:r>
        <w:rPr>
          <w:b/>
          <w:bCs/>
        </w:rPr>
        <w:t xml:space="preserve">Difference.Withoutaddition?</w:t>
      </w:r>
    </w:p>
    <w:p>
      <w:pPr>
        <w:pStyle w:val="BodyText"/>
      </w:pPr>
      <w:r>
        <w:t xml:space="preserve">How can God freely and knowingly create this world</w:t>
      </w:r>
      <w:r>
        <w:br/>
      </w:r>
      <w:r>
        <w:t xml:space="preserve">without creation adding to what God is?</w:t>
      </w:r>
    </w:p>
    <w:p>
      <w:pPr>
        <w:pStyle w:val="BodyText"/>
      </w:pPr>
      <w:r>
        <w:t xml:space="preserve">FOUR FACTS TO KEEP DISTINCT</w:t>
      </w:r>
    </w:p>
    <w:p>
      <w:pPr>
        <w:pStyle w:val="BodyText"/>
      </w:pPr>
      <w:r>
        <w:t xml:space="preserve">01</w:t>
      </w:r>
      <w:r>
        <w:rPr>
          <w:b/>
          <w:bCs/>
        </w:rPr>
        <w:t xml:space="preserve">Effect</w:t>
      </w:r>
      <w:r>
        <w:t xml:space="preserve">What comes to be?</w:t>
      </w:r>
    </w:p>
    <w:p>
      <w:pPr>
        <w:pStyle w:val="BodyText"/>
      </w:pPr>
      <w:r>
        <w:t xml:space="preserve">02</w:t>
      </w:r>
      <w:r>
        <w:rPr>
          <w:b/>
          <w:bCs/>
        </w:rPr>
        <w:t xml:space="preserve">Action</w:t>
      </w:r>
      <w:r>
        <w:t xml:space="preserve">Who actually directs it?</w:t>
      </w:r>
    </w:p>
    <w:p>
      <w:pPr>
        <w:pStyle w:val="BodyText"/>
      </w:pPr>
      <w:r>
        <w:t xml:space="preserve">03</w:t>
      </w:r>
      <w:r>
        <w:rPr>
          <w:b/>
          <w:bCs/>
        </w:rPr>
        <w:t xml:space="preserve">Reception</w:t>
      </w:r>
      <w:r>
        <w:t xml:space="preserve">How is it received?</w:t>
      </w:r>
    </w:p>
    <w:p>
      <w:pPr>
        <w:pStyle w:val="BodyText"/>
      </w:pPr>
      <w:r>
        <w:t xml:space="preserve">04</w:t>
      </w:r>
      <w:r>
        <w:rPr>
          <w:b/>
          <w:bCs/>
        </w:rPr>
        <w:t xml:space="preserve">Access</w:t>
      </w:r>
      <w:r>
        <w:t xml:space="preserve">How is it known?</w:t>
      </w:r>
    </w:p>
    <w:p>
      <w:pPr>
        <w:pStyle w:val="BodyText"/>
      </w:pPr>
      <w:r>
        <w:t xml:space="preserve">One complete account.</w:t>
      </w:r>
      <w:r>
        <w:br/>
      </w:r>
      <w:r>
        <w:t xml:space="preserve">Each fact needs its own explanation.</w:t>
      </w:r>
    </w:p>
    <w:p>
      <w:pPr>
        <w:pStyle w:val="BodyText"/>
      </w:pPr>
      <w:r>
        <w:t xml:space="preserve">FROM / LIKE / OTHER</w:t>
      </w:r>
      <w:r>
        <w:br/>
      </w:r>
      <w:r>
        <w:t xml:space="preserve">SIMPLE? / FREE? / SELF-KNOWING?</w:t>
      </w:r>
      <w:r>
        <w:br/>
      </w:r>
      <w:r>
        <w:t xml:space="preserve">ACTION / ITS EFFECT / HOW IT IS KNOWN</w:t>
      </w:r>
    </w:p>
    <w:p>
      <w:pPr>
        <w:pStyle w:val="BodyText"/>
      </w:pPr>
      <w:r>
        <w:t xml:space="preserve">00 / CONTEXT</w:t>
      </w:r>
    </w:p>
    <w:bookmarkStart w:id="20" w:name="divine-action-and-real-difference"/>
    <w:p>
      <w:pPr>
        <w:pStyle w:val="Heading2"/>
      </w:pPr>
      <w:r>
        <w:t xml:space="preserve">Divine action and real difference</w:t>
      </w:r>
    </w:p>
    <w:p>
      <w:pPr>
        <w:pStyle w:val="FirstParagraph"/>
      </w:pPr>
      <w:r>
        <w:t xml:space="preserve">How can created outcomes and divine intentions differ without making God dependent on creation?</w:t>
      </w:r>
    </w:p>
    <w:bookmarkEnd w:id="20"/>
    <w:p>
      <w:pPr>
        <w:pStyle w:val="BodyText"/>
      </w:pPr>
      <w:r>
        <w:t xml:space="preserve">CONSTRUCTIVE CONTINUATION</w:t>
      </w:r>
    </w:p>
    <w:p>
      <w:pPr>
        <w:pStyle w:val="BodyText"/>
      </w:pPr>
      <w:hyperlink r:id="rId21">
        <w:r>
          <w:rPr>
            <w:rStyle w:val="Hyperlink"/>
          </w:rPr>
          <w:t xml:space="preserve">Part I</w:t>
        </w:r>
      </w:hyperlink>
      <w:r>
        <w:t xml:space="preserve"> </w:t>
      </w:r>
      <w:r>
        <w:t xml:space="preserve">developed a conditional grammar of participation: finite creatures can depend upon and manifest an underived source without partitioning, exhausting, or completing it.</w:t>
      </w:r>
      <w:r>
        <w:t xml:space="preserve"> </w:t>
      </w:r>
      <w:hyperlink r:id="rId22">
        <w:r>
          <w:rPr>
            <w:rStyle w:val="Hyperlink"/>
          </w:rPr>
          <w:t xml:space="preserve">Part II</w:t>
        </w:r>
      </w:hyperlink>
      <w:r>
        <w:t xml:space="preserve"> </w:t>
      </w:r>
      <w:r>
        <w:t xml:space="preserve">separated the further arguments needed for simplicity, genuine alternatives, intelligent agency, and knowledge. Inexhaustibility alone establishes none of those stronger claims.</w:t>
      </w:r>
    </w:p>
    <w:p>
      <w:pPr>
        <w:pStyle w:val="BodyText"/>
      </w:pPr>
      <w:r>
        <w:t xml:space="preserve">This page asks how creation can be an actual, intentional action of God: not merely something that happens while God possesses the power to cause it. Its central distinction is simple:</w:t>
      </w:r>
      <w:r>
        <w:t xml:space="preserve"> </w:t>
      </w:r>
      <w:r>
        <w:rPr>
          <w:b/>
          <w:bCs/>
        </w:rPr>
        <w:t xml:space="preserve">being determinate is not the same as being made determinate by something else.</w:t>
      </w:r>
      <w:r>
        <w:t xml:space="preserve"> </w:t>
      </w:r>
      <w:r>
        <w:t xml:space="preserve">An underived source need not be featureless. But calling its action determinate does not yet explain why it is this action rather than another.</w:t>
      </w:r>
    </w:p>
    <w:p>
      <w:pPr>
        <w:pStyle w:val="BlockText"/>
      </w:pPr>
      <w:r>
        <w:t xml:space="preserve">How can God freely and knowingly create this world rather than another while God’s intrinsic actuality, his own being, remains the same across those alternatives?</w:t>
      </w:r>
    </w:p>
    <w:p>
      <w:pPr>
        <w:pStyle w:val="FirstParagraph"/>
      </w:pPr>
      <w:r>
        <w:t xml:space="preserve">We distinguish what realizes a difference, what explains it, what could have differed, how it becomes known, and what good it fulfills. Participation connects those questions through real received possession; it does not answer all of them by itself. The underived source and its intrinsic invariance remain independently argued commitments. The answer developed here is a constructive proposal, not a seventh proof of simplicity or a deduction of Christianity.</w:t>
      </w:r>
    </w:p>
    <w:p>
      <w:pPr>
        <w:pStyle w:val="BodyText"/>
      </w:pPr>
      <w:r>
        <w:t xml:space="preserve">01 / THE QUESTION</w:t>
      </w:r>
    </w:p>
    <w:bookmarkStart w:id="23" w:name="what-differs-and-what-explains-it"/>
    <w:p>
      <w:pPr>
        <w:pStyle w:val="Heading2"/>
      </w:pPr>
      <w:r>
        <w:t xml:space="preserve">What differs, and what explains it?</w:t>
      </w:r>
    </w:p>
    <w:p>
      <w:pPr>
        <w:pStyle w:val="FirstParagraph"/>
      </w:pPr>
      <w:r>
        <w:t xml:space="preserve">A difference in meaning, an intrinsic constituent, and a real relation require different explanations.</w:t>
      </w:r>
    </w:p>
    <w:bookmarkEnd w:id="23"/>
    <w:p>
      <w:pPr>
        <w:pStyle w:val="BodyText"/>
      </w:pPr>
      <w:r>
        <w:t xml:space="preserve">A METHOD FOR TESTING EXPLANATIONS</w:t>
      </w:r>
    </w:p>
    <w:p>
      <w:pPr>
        <w:pStyle w:val="BodyText"/>
      </w:pPr>
      <w:r>
        <w:t xml:space="preserve">Ask four questions:</w:t>
      </w:r>
      <w:r>
        <w:t xml:space="preserve"> </w:t>
      </w:r>
      <w:r>
        <w:rPr>
          <w:b/>
          <w:bCs/>
        </w:rPr>
        <w:t xml:space="preserve">What differs? Whose feature or relationship is it? What explains it? How could it be known?</w:t>
      </w:r>
      <w:r>
        <w:t xml:space="preserve"> </w:t>
      </w:r>
      <w:r>
        <w:t xml:space="preserve">A wax impression has a shape. A giver has an intention. A gift enters a relationship. A reader understands a sign. Explaining one fact does not automatically explain the others.</w:t>
      </w:r>
    </w:p>
    <w:p>
      <w:pPr>
        <w:pStyle w:val="BodyText"/>
      </w:pPr>
      <w:r>
        <w:t xml:space="preserve">Different predicates need not require different concrete realizers. Wisdom and power differ in meaning; it does not follow merely from that difference that they are realized by distinct parts in God. This blocks an invalid inference, rather than proving that one actuality does realize every divine perfection. That positive claim needs an account of the perfections and their compatible realization.</w:t>
      </w:r>
    </w:p>
    <w:p>
      <w:pPr>
        <w:pStyle w:val="BodyText"/>
      </w:pPr>
      <w:r>
        <w:t xml:space="preserve">A real relation is likewise more than a convenient description. A gift’s direction toward this recipient can belong to the full action without the recipient supplying the giver with its power. But it remains necessary to distinguish the action’s identity, its explanation, and the agent’s control. A difference in recipients alone cannot explain different intentions.</w:t>
      </w:r>
    </w:p>
    <w:p>
      <w:pPr>
        <w:pStyle w:val="BodyText"/>
      </w:pPr>
      <w:r>
        <w:rPr>
          <w:i/>
          <w:iCs/>
        </w:rPr>
        <w:t xml:space="preserve">Intrinsic</w:t>
      </w:r>
      <w:r>
        <w:t xml:space="preserve"> </w:t>
      </w:r>
      <w:r>
        <w:t xml:space="preserve">concerns something’s own being;</w:t>
      </w:r>
      <w:r>
        <w:t xml:space="preserve"> </w:t>
      </w:r>
      <w:r>
        <w:rPr>
          <w:i/>
          <w:iCs/>
        </w:rPr>
        <w:t xml:space="preserve">relational</w:t>
      </w:r>
      <w:r>
        <w:t xml:space="preserve"> </w:t>
      </w:r>
      <w:r>
        <w:t xml:space="preserve">concerns it in relation to another. A primitive intrinsic difference, if coherent, need not automatically be a proper part. A relational difference need not automatically be intentional. The method therefore classifies differences before drawing conclusions from them; it does not make either category harmless by definition.</w:t>
      </w:r>
    </w:p>
    <w:p>
      <w:pPr>
        <w:pStyle w:val="BodyText"/>
      </w:pPr>
      <w:r>
        <w:t xml:space="preserve">02 / CASE EXPLORER</w:t>
      </w:r>
    </w:p>
    <w:bookmarkStart w:id="24" w:name="change-the-facts-not-just-the-labels"/>
    <w:p>
      <w:pPr>
        <w:pStyle w:val="Heading2"/>
      </w:pPr>
      <w:r>
        <w:t xml:space="preserve">Change the facts, not just the labels</w:t>
      </w:r>
    </w:p>
    <w:p>
      <w:pPr>
        <w:pStyle w:val="FirstParagraph"/>
      </w:pPr>
      <w:r>
        <w:t xml:space="preserve">Six comparisons expose what an explanation must supply.</w:t>
      </w:r>
    </w:p>
    <w:bookmarkEnd w:id="24"/>
    <w:p>
      <w:pPr>
        <w:pStyle w:val="BodyText"/>
      </w:pPr>
      <w:r>
        <w:t xml:space="preserve">EXAMPLE INSPECTOR · NOT A PROOF</w:t>
      </w:r>
    </w:p>
    <w:p>
      <w:pPr>
        <w:pStyle w:val="BodyText"/>
      </w:pPr>
      <w:r>
        <w:t xml:space="preserve">The finite cases establish distinctions, rather than proving that God remains unchanged. A lamp can keep the same radiant power while other properties change; a human’s intentions can differ intrinsically. The advanced case expressly assumes a disputed relational account of divine action and shows what remains to be defended.</w:t>
      </w:r>
    </w:p>
    <w:p>
      <w:pPr>
        <w:pStyle w:val="BodyText"/>
      </w:pPr>
      <w:r>
        <w:t xml:space="preserve">The complete static record of all six cases and sixteen variants follows in the interactive appendix.</w:t>
      </w:r>
    </w:p>
    <w:p>
      <w:pPr>
        <w:pStyle w:val="BodyText"/>
      </w:pPr>
      <w:r>
        <w:t xml:space="preserve">03 / POSITIVE ARGUMENT</w:t>
      </w:r>
    </w:p>
    <w:bookmarkStart w:id="25" w:name="an-action-is-more-than-its-outcome"/>
    <w:p>
      <w:pPr>
        <w:pStyle w:val="Heading2"/>
      </w:pPr>
      <w:r>
        <w:t xml:space="preserve">An action is more than its outcome</w:t>
      </w:r>
    </w:p>
    <w:p>
      <w:pPr>
        <w:pStyle w:val="FirstParagraph"/>
      </w:pPr>
      <w:r>
        <w:t xml:space="preserve">The same physical result can serve different intentions. Having a power does not mean using it.</w:t>
      </w:r>
    </w:p>
    <w:bookmarkEnd w:id="25"/>
    <w:p>
      <w:pPr>
        <w:pStyle w:val="BodyText"/>
      </w:pPr>
      <w:r>
        <w:t xml:space="preserve">COMPARATIVE ARGUMENT + CONDITIONAL PROPOSAL</w:t>
      </w:r>
    </w:p>
    <w:p>
      <w:pPr>
        <w:pStyle w:val="BodyText"/>
      </w:pPr>
      <w:r>
        <w:rPr>
          <w:b/>
          <w:bCs/>
        </w:rPr>
        <w:t xml:space="preserve">1.</w:t>
      </w:r>
      <w:r>
        <w:t xml:space="preserve"> </w:t>
      </w:r>
      <w:r>
        <w:t xml:space="preserve">A blanket can relieve cold through an intentional gift or an accidental arrival. Benefit alone does not establish that someone intended it.</w:t>
      </w:r>
    </w:p>
    <w:p>
      <w:pPr>
        <w:pStyle w:val="BodyText"/>
      </w:pPr>
      <w:r>
        <w:rPr>
          <w:b/>
          <w:bCs/>
        </w:rPr>
        <w:t xml:space="preserve">2.</w:t>
      </w:r>
      <w:r>
        <w:t xml:space="preserve"> </w:t>
      </w:r>
      <w:r>
        <w:t xml:space="preserve">Two gifts with the same physical result can differ: one relieves cold; another also acknowledges dignity. The outcome does not tell us the whole intention.</w:t>
      </w:r>
    </w:p>
    <w:p>
      <w:pPr>
        <w:pStyle w:val="BodyText"/>
      </w:pPr>
      <w:r>
        <w:rPr>
          <w:b/>
          <w:bCs/>
        </w:rPr>
        <w:t xml:space="preserve">3.</w:t>
      </w:r>
      <w:r>
        <w:t xml:space="preserve"> </w:t>
      </w:r>
      <w:r>
        <w:t xml:space="preserve">A person can possess a capacity without using it. Deliberately refraining requires capacity, control, and purpose; an absent effect establishes none of these.</w:t>
      </w:r>
    </w:p>
    <w:p>
      <w:pPr>
        <w:pStyle w:val="BodyText"/>
      </w:pPr>
      <w:r>
        <w:rPr>
          <w:b/>
          <w:bCs/>
        </w:rPr>
        <w:t xml:space="preserve">4.</w:t>
      </w:r>
      <w:r>
        <w:t xml:space="preserve"> </w:t>
      </w:r>
      <w:r>
        <w:t xml:space="preserve">A benefit can be real before recognition. Conversely, a true belief can be a lucky guess. Receiving something and knowing it have different conditions.</w:t>
      </w:r>
    </w:p>
    <w:p>
      <w:pPr>
        <w:pStyle w:val="BodyText"/>
      </w:pPr>
      <w:r>
        <w:t xml:space="preserve">An adequate account preserves</w:t>
      </w:r>
      <w:r>
        <w:t xml:space="preserve"> </w:t>
      </w:r>
      <w:r>
        <w:rPr>
          <w:b/>
          <w:bCs/>
        </w:rPr>
        <w:t xml:space="preserve">what is produced, what the agent intends and does, what the recipient receives, and how someone knows it</w:t>
      </w:r>
      <w:r>
        <w:t xml:space="preserve">. The examples expose these different explanatory jobs. They do not show that a finite agent’s changing psychology can be transferred to God.</w:t>
      </w:r>
    </w:p>
    <w:p>
      <w:pPr>
        <w:pStyle w:val="BodyText"/>
      </w:pPr>
      <w:r>
        <w:t xml:space="preserve">The philosophical opening is a distinction between the agent’s intrinsic power and the complete intentional action. If an action’s direction is genuinely originated and controlled by the agent, a difference in that direction need not be an actuality supplied by its effect. The action can explain the effect while the effect helps specify which complete action occurred.</w:t>
      </w:r>
      <w:r>
        <w:t xml:space="preserve"> </w:t>
      </w:r>
      <w:r>
        <w:rPr>
          <w:b/>
          <w:bCs/>
        </w:rPr>
        <w:t xml:space="preserve">Specification and productive causation run in different directions.</w:t>
      </w:r>
    </w:p>
    <w:p>
      <w:pPr>
        <w:pStyle w:val="BodyText"/>
      </w:pPr>
      <w:r>
        <w:t xml:space="preserve">This establishes a candidate structure, not its divine realization. The remaining bridge is substantial: an intelligent source must be able to originate and know such a determinate direction without acquiring a new intrinsic state. The strongest rival grants libertarian agency but locates alternative choices in different intrinsic states, even while denying that those states are proper parts.</w:t>
      </w:r>
    </w:p>
    <w:p>
      <w:pPr>
        <w:pStyle w:val="BodyText"/>
      </w:pPr>
      <w:r>
        <w:t xml:space="preserve">04 / DIVINE ACTION</w:t>
      </w:r>
    </w:p>
    <w:bookmarkStart w:id="26" w:name="a-power-is-not-yet-a-particular-action"/>
    <w:p>
      <w:pPr>
        <w:pStyle w:val="Heading2"/>
      </w:pPr>
      <w:r>
        <w:t xml:space="preserve">A power is not yet a particular action</w:t>
      </w:r>
    </w:p>
    <w:p>
      <w:pPr>
        <w:pStyle w:val="FirstParagraph"/>
      </w:pPr>
      <w:r>
        <w:t xml:space="preserve">A complete account must explain alternatives, reasons, choice, and successful production.</w:t>
      </w:r>
    </w:p>
    <w:bookmarkEnd w:id="26"/>
    <w:p>
      <w:pPr>
        <w:pStyle w:val="BodyText"/>
      </w:pPr>
      <w:r>
        <w:t xml:space="preserve">DISPUTED CONSTRUCTIVE PROPOSAL</w:t>
      </w:r>
    </w:p>
    <w:p>
      <w:pPr>
        <w:pStyle w:val="BodyText"/>
      </w:pPr>
      <w:r>
        <w:t xml:space="preserve">Four steps must remain distinct.</w:t>
      </w:r>
      <w:r>
        <w:t xml:space="preserve"> </w:t>
      </w:r>
      <w:r>
        <w:rPr>
          <w:b/>
          <w:bCs/>
        </w:rPr>
        <w:t xml:space="preserve">Possibility</w:t>
      </w:r>
      <w:r>
        <w:t xml:space="preserve"> </w:t>
      </w:r>
      <w:r>
        <w:t xml:space="preserve">identifies real alternatives;</w:t>
      </w:r>
      <w:r>
        <w:t xml:space="preserve"> </w:t>
      </w:r>
      <w:r>
        <w:rPr>
          <w:b/>
          <w:bCs/>
        </w:rPr>
        <w:t xml:space="preserve">reasons</w:t>
      </w:r>
      <w:r>
        <w:t xml:space="preserve"> </w:t>
      </w:r>
      <w:r>
        <w:t xml:space="preserve">make an alternative intelligible or good;</w:t>
      </w:r>
      <w:r>
        <w:t xml:space="preserve"> </w:t>
      </w:r>
      <w:r>
        <w:rPr>
          <w:b/>
          <w:bCs/>
        </w:rPr>
        <w:t xml:space="preserve">choice</w:t>
      </w:r>
      <w:r>
        <w:t xml:space="preserve"> </w:t>
      </w:r>
      <w:r>
        <w:t xml:space="preserve">explains the agent’s actual direction toward it;</w:t>
      </w:r>
      <w:r>
        <w:t xml:space="preserve"> </w:t>
      </w:r>
      <w:r>
        <w:rPr>
          <w:b/>
          <w:bCs/>
        </w:rPr>
        <w:t xml:space="preserve">efficacy</w:t>
      </w:r>
      <w:r>
        <w:t xml:space="preserve"> </w:t>
      </w:r>
      <w:r>
        <w:t xml:space="preserve">explains its realization. An indeterminate process can branch without choosing. A rational plan can remain unexecuted. Divine agency requires intelligent authorship as well as power.</w:t>
      </w:r>
    </w:p>
    <w:p>
      <w:pPr>
        <w:pStyle w:val="BodyText"/>
      </w:pPr>
      <w:r>
        <w:t xml:space="preserve">The proposed bridge is that</w:t>
      </w:r>
      <w:r>
        <w:t xml:space="preserve"> </w:t>
      </w:r>
      <w:r>
        <w:rPr>
          <w:b/>
          <w:bCs/>
        </w:rPr>
        <w:t xml:space="preserve">a complete intentional action need not be fixed by the agent’s intrinsic state alone, provided its direction is a real relation originated and controlled by that agent</w:t>
      </w:r>
      <w:r>
        <w:t xml:space="preserve">. God’s being would remain intrinsically complete, while the full fact that God freely creates this world would include a contingent direction toward this creation. This commits the account to a real intentional explanation; it cannot be satisfied by assigning different world labels to an invariant power.</w:t>
      </w:r>
    </w:p>
    <w:p>
      <w:pPr>
        <w:pStyle w:val="BodyText"/>
      </w:pPr>
      <w:r>
        <w:t xml:space="preserve">The motivation is that the complete identity of an action includes its intentional object and explanatory direction, not only a description of the agent in isolation. Requiring every such difference to be realized by a different intrinsic state is a substantive theory of intention, not a truth contained in the word “action.” Finite examples establish that explanatory and identifying relations can differ; they do not establish that divine intention is relational throughout.</w:t>
      </w:r>
    </w:p>
    <w:p>
      <w:pPr>
        <w:pStyle w:val="BodyText"/>
      </w:pPr>
      <w:r>
        <w:t xml:space="preserve">Reasons can explain a choice without uniquely necessitating it. The recipient’s possible good supplies a reason for generosity without supplying a need in God. The agent, rather than a prior selector or an impersonal lottery, originates the action for that reason. Whether this form of rational explanation is sufficient, and whether its intentional direction can remain relational throughout, are the two principal disputes.</w:t>
      </w:r>
    </w:p>
    <w:p>
      <w:pPr>
        <w:pStyle w:val="BodyText"/>
      </w:pPr>
      <w:r>
        <w:t xml:space="preserve">Modal collapse follows if God’s necessary intrinsic actuality necessarily entails this complete efficacious intention. The proposal denies that further entailment.</w:t>
      </w:r>
      <w:r>
        <w:t xml:space="preserve"> </w:t>
      </w:r>
      <w:r>
        <w:rPr>
          <w:b/>
          <w:bCs/>
        </w:rPr>
        <w:t xml:space="preserve">Necessarily, if God efficaciously intends this creation, it exists; it does not follow that God necessarily so intends.</w:t>
      </w:r>
      <w:r>
        <w:t xml:space="preserve"> </w:t>
      </w:r>
      <w:r>
        <w:t xml:space="preserve">Denying the entailment blocks one inference to collapse. The positive agency bridge must still explain how the contingent intention belongs to God’s control.</w:t>
      </w:r>
    </w:p>
    <w:p>
      <w:pPr>
        <w:pStyle w:val="BodyText"/>
      </w:pPr>
      <w:r>
        <w:t xml:space="preserve">Including an effect in the full description of an action does not make it the cause of the intention. Conversely, saying only “God is Creator because a world exists” offers an outcome-dependent title without an account of choice. These two errors delimit the proposal.</w:t>
      </w:r>
    </w:p>
    <w:bookmarkStart w:id="27" w:name="the-notation-makes-no-extra-promise"/>
    <w:p>
      <w:pPr>
        <w:pStyle w:val="Heading3"/>
      </w:pPr>
      <w:r>
        <w:t xml:space="preserve">The notation makes no extra promise</w:t>
      </w:r>
    </w:p>
    <w:p>
      <w:pPr>
        <w:pStyle w:val="FirstParagraph"/>
      </w:pPr>
      <w:r>
        <w:rPr>
          <w:b/>
          <w:bCs/>
        </w:rPr>
        <w:t xml:space="preserve">S(g,e,p)</w:t>
      </w:r>
      <w:r>
        <w:t xml:space="preserve"> </w:t>
      </w:r>
      <w:r>
        <w:t xml:space="preserve">abbreviates: agent</w:t>
      </w:r>
      <w:r>
        <w:t xml:space="preserve"> </w:t>
      </w:r>
      <w:r>
        <w:rPr>
          <w:i/>
          <w:iCs/>
        </w:rPr>
        <w:t xml:space="preserve">g</w:t>
      </w:r>
      <w:r>
        <w:t xml:space="preserve"> </w:t>
      </w:r>
      <w:r>
        <w:t xml:space="preserve">actually performs and controls action</w:t>
      </w:r>
      <w:r>
        <w:t xml:space="preserve"> </w:t>
      </w:r>
      <w:r>
        <w:rPr>
          <w:i/>
          <w:iCs/>
        </w:rPr>
        <w:t xml:space="preserve">e</w:t>
      </w:r>
      <w:r>
        <w:t xml:space="preserve">, intending</w:t>
      </w:r>
      <w:r>
        <w:t xml:space="preserve"> </w:t>
      </w:r>
      <w:r>
        <w:rPr>
          <w:i/>
          <w:iCs/>
        </w:rPr>
        <w:t xml:space="preserve">p</w:t>
      </w:r>
      <w:r>
        <w:t xml:space="preserve">.</w:t>
      </w:r>
      <w:r>
        <w:t xml:space="preserve"> </w:t>
      </w:r>
      <w:r>
        <w:rPr>
          <w:b/>
          <w:bCs/>
        </w:rPr>
        <w:t xml:space="preserve">T(e,x)</w:t>
      </w:r>
      <w:r>
        <w:t xml:space="preserve"> </w:t>
      </w:r>
      <w:r>
        <w:t xml:space="preserve">says the action effectively produces</w:t>
      </w:r>
      <w:r>
        <w:t xml:space="preserve"> </w:t>
      </w:r>
      <w:r>
        <w:rPr>
          <w:i/>
          <w:iCs/>
        </w:rPr>
        <w:t xml:space="preserve">x</w:t>
      </w:r>
      <w:r>
        <w:t xml:space="preserve"> </w:t>
      </w:r>
      <w:r>
        <w:t xml:space="preserve">as intended. S records agency; it does not derive intelligence or freedom from existence. T records success; intention alone does not produce an outcome. Neither symbol explains the metaphysical possibility of the proposed intentional relation.</w:t>
      </w:r>
    </w:p>
    <w:bookmarkEnd w:id="27"/>
    <w:bookmarkStart w:id="28" w:name="the-no-creation-alternative"/>
    <w:p>
      <w:pPr>
        <w:pStyle w:val="Heading3"/>
      </w:pPr>
      <w:r>
        <w:t xml:space="preserve">The no-creation alternative</w:t>
      </w:r>
    </w:p>
    <w:p>
      <w:pPr>
        <w:pStyle w:val="FirstParagraph"/>
      </w:pPr>
      <w:r>
        <w:t xml:space="preserve">No creation means no created actuality, rather than “nothing” as an object God makes. Deliberate refraining must be possible if creation is gratuitous; non-exhaustion alone does not establish that possibility. It also does not erase the eternal personal life of Father, Son, and Spirit. Their relations are not contingent exercises of creative power.</w:t>
      </w:r>
    </w:p>
    <w:bookmarkEnd w:id="28"/>
    <w:p>
      <w:pPr>
        <w:pStyle w:val="BodyText"/>
      </w:pPr>
      <w:r>
        <w:t xml:space="preserve">05 / KNOWLEDGE</w:t>
      </w:r>
    </w:p>
    <w:bookmarkStart w:id="29" w:name="Xc2335a62c78f32a0be4bc81d2d466ab3219120d"/>
    <w:p>
      <w:pPr>
        <w:pStyle w:val="Heading2"/>
      </w:pPr>
      <w:r>
        <w:t xml:space="preserve">Knowing the actual without learning from it</w:t>
      </w:r>
    </w:p>
    <w:p>
      <w:pPr>
        <w:pStyle w:val="FirstParagraph"/>
      </w:pPr>
      <w:r>
        <w:t xml:space="preserve">A truth’s dependence on an event is not automatically the knower’s acquisition of a cognitive state.</w:t>
      </w:r>
    </w:p>
    <w:bookmarkEnd w:id="29"/>
    <w:p>
      <w:pPr>
        <w:pStyle w:val="BodyText"/>
      </w:pPr>
      <w:r>
        <w:t xml:space="preserve">PRODUCTIVE KNOWLEDGE + A FURTHER COGNITIVE BRIDGE</w:t>
      </w:r>
    </w:p>
    <w:p>
      <w:pPr>
        <w:pStyle w:val="BodyText"/>
      </w:pPr>
      <w:r>
        <w:t xml:space="preserve">Distinguish</w:t>
      </w:r>
      <w:r>
        <w:t xml:space="preserve"> </w:t>
      </w:r>
      <w:r>
        <w:rPr>
          <w:b/>
          <w:bCs/>
        </w:rPr>
        <w:t xml:space="preserve">a real received good, its meaningful expression, someone’s access to it, and warranted recognition</w:t>
      </w:r>
      <w:r>
        <w:t xml:space="preserve">. An unconscious patient can benefit from care; a meaningful sign can remain unread. A cause can sustain an event without thereby having cognitive acquaintance with it. Neither reception nor causal intimacy establishes knowledge by itself.</w:t>
      </w:r>
    </w:p>
    <w:p>
      <w:pPr>
        <w:pStyle w:val="BodyText"/>
      </w:pPr>
      <w:r>
        <w:t xml:space="preserve">For effects fully specified by God’s efficacious intention, the positive proposal is productive knowledge. An intelligent source knows what it does through awareness of its actual controlled action and what that action infallibly produces. It need not inspect the result in order to learn whether its intention succeeded. This requires actual intention, adequate self-awareness, and transparency of the action’s efficacy. Knowing every possible plan does not yet identify the actual plan.</w:t>
      </w:r>
    </w:p>
    <w:p>
      <w:pPr>
        <w:pStyle w:val="BodyText"/>
      </w:pPr>
      <w:r>
        <w:t xml:space="preserve">The claim that a particular contingent choice actually occurs is true only if that choice occurs. But</w:t>
      </w:r>
      <w:r>
        <w:t xml:space="preserve"> </w:t>
      </w:r>
      <w:r>
        <w:rPr>
          <w:b/>
          <w:bCs/>
        </w:rPr>
        <w:t xml:space="preserve">truth conditions are not automatically cognitive actualizers</w:t>
      </w:r>
      <w:r>
        <w:t xml:space="preserve">: the fact that makes a statement true need not send information that completes God’s intellect. This distinguishes two explanatory arrows. It does not by itself show how an intrinsically invariant intellect knows different actual outcomes.</w:t>
      </w:r>
    </w:p>
    <w:p>
      <w:pPr>
        <w:pStyle w:val="BodyText"/>
      </w:pPr>
      <w:r>
        <w:t xml:space="preserve">Free secondary acts make the harder case. Sustaining a creature’s power is not the same as supplying its intention, and knowledge of God’s creative intention cannot simply stand in for knowledge of whatever the creature freely chooses. The proposed additional bridge is</w:t>
      </w:r>
      <w:r>
        <w:t xml:space="preserve"> </w:t>
      </w:r>
      <w:r>
        <w:rPr>
          <w:b/>
          <w:bCs/>
        </w:rPr>
        <w:t xml:space="preserve">direct, non-receptive awareness of actual finite acts</w:t>
      </w:r>
      <w:r>
        <w:t xml:space="preserve">: the underived intellect knows their determinate actuality without acquiring representations caused by them. This is a positive cognitive commitment, not a consequence of merely renaming causal presence as awareness.</w:t>
      </w:r>
    </w:p>
    <w:p>
      <w:pPr>
        <w:pStyle w:val="BodyText"/>
      </w:pPr>
      <w:r>
        <w:t xml:space="preserve">The bridge must cover the actual content of choices, omissions, and relations, while preserving their creaturely authorship. Foreknowledge further requires an account of access to temporal actuality; factivity alone establishes no timeless standpoint. Comprehensive omniscience is received in Catholic theology. Its philosophical explanation remains conditional on these additional cognitive and temporal commitments.</w:t>
      </w:r>
    </w:p>
    <w:p>
      <w:pPr>
        <w:pStyle w:val="BodyText"/>
      </w:pPr>
      <w:r>
        <w:t xml:space="preserve">Knowing a wrongful intention is not intending its moral defect. An act’s positive actuality, the creature’s exercise, its disorder, God’s permission, and divine knowledge have different explanatory roles. A theory that treats them as one causation has lost the distinction it needed to preserve.</w:t>
      </w:r>
    </w:p>
    <w:p>
      <w:pPr>
        <w:pStyle w:val="BodyText"/>
      </w:pPr>
      <w:r>
        <w:t xml:space="preserve">06 / HISTORICAL RESOURCES</w:t>
      </w:r>
    </w:p>
    <w:bookmarkStart w:id="30" w:name="X77040adeb479227154b7d40a08c5c90c19086d9"/>
    <w:p>
      <w:pPr>
        <w:pStyle w:val="Heading2"/>
      </w:pPr>
      <w:r>
        <w:t xml:space="preserve">Different thinkers answer different questions</w:t>
      </w:r>
    </w:p>
    <w:p>
      <w:pPr>
        <w:pStyle w:val="FirstParagraph"/>
      </w:pPr>
      <w:r>
        <w:t xml:space="preserve">These are resources and critical interlocutors, not co-authors of a modern system.</w:t>
      </w:r>
    </w:p>
    <w:bookmarkEnd w:id="30"/>
    <w:p>
      <w:pPr>
        <w:pStyle w:val="BodyText"/>
      </w:pPr>
      <w:r>
        <w:t xml:space="preserve">CLAIM, INTERPRETATION, AND LIMIT KEPT DISTINCT</w:t>
      </w:r>
    </w:p>
    <w:p>
      <w:pPr>
        <w:pStyle w:val="BodyText"/>
      </w:pPr>
      <w:r>
        <w:t xml:space="preserve">Bonaventure</w:t>
      </w:r>
    </w:p>
    <w:bookmarkStart w:id="32" w:name="fullness-not-featurelessness"/>
    <w:p>
      <w:pPr>
        <w:pStyle w:val="Heading3"/>
      </w:pPr>
      <w:r>
        <w:t xml:space="preserve">Fullness, not featurelessness</w:t>
      </w:r>
    </w:p>
    <w:p>
      <w:pPr>
        <w:pStyle w:val="FirstParagraph"/>
      </w:pPr>
      <w:r>
        <w:t xml:space="preserve">Simplicity concerns the perfection by which the source is actual, not a poverty of intelligible content. A distinction by personal origin is not the same as a difference produced by adding a constituent. Finite proportion can also contribute positively to a creature’s beauty.</w:t>
      </w:r>
    </w:p>
    <w:p>
      <w:pPr>
        <w:pStyle w:val="BlockText"/>
      </w:pPr>
      <w:r>
        <w:t xml:space="preserve">Where supreme simplicity is understood, supreme actuality must be understood.</w:t>
      </w:r>
    </w:p>
    <w:p>
      <w:pPr>
        <w:pStyle w:val="FirstParagraph"/>
      </w:pPr>
      <w:r>
        <w:t xml:space="preserve">I Sentences, q. 1, ad 1; inherited manuscript working translation.</w:t>
      </w:r>
    </w:p>
    <w:p>
      <w:pPr>
        <w:pStyle w:val="BodyText"/>
      </w:pPr>
      <w:r>
        <w:t xml:space="preserve">The communication argument here concerns the Trinity. It does not necessitate creation or demonstrate the proposed account of free divine action.</w:t>
      </w:r>
    </w:p>
    <w:p>
      <w:pPr>
        <w:pStyle w:val="BodyText"/>
      </w:pPr>
      <w:hyperlink r:id="rId31">
        <w:r>
          <w:rPr>
            <w:rStyle w:val="Hyperlink"/>
          </w:rPr>
          <w:t xml:space="preserve">I Sentences d. 8, p. II, a. un., qq. 1–2; Itinerarium II.10 →</w:t>
        </w:r>
      </w:hyperlink>
    </w:p>
    <w:p>
      <w:pPr>
        <w:pStyle w:val="BodyText"/>
      </w:pPr>
      <w:r>
        <w:t xml:space="preserve">Pseudo-Dionysius</w:t>
      </w:r>
    </w:p>
    <w:bookmarkEnd w:id="32"/>
    <w:bookmarkStart w:id="34" w:name="different-impressions-one-source"/>
    <w:p>
      <w:pPr>
        <w:pStyle w:val="Heading3"/>
      </w:pPr>
      <w:r>
        <w:t xml:space="preserve">Different impressions; one source</w:t>
      </w:r>
    </w:p>
    <w:p>
      <w:pPr>
        <w:pStyle w:val="FirstParagraph"/>
      </w:pPr>
      <w:r>
        <w:t xml:space="preserve">The seal comparison locates variation partly in recipients. Exemplars help explain intelligible differences; God’s knowledge through their cause addresses a further question. These are three explanations to distinguish, rather than interchangeable proofs.</w:t>
      </w:r>
    </w:p>
    <w:p>
      <w:pPr>
        <w:pStyle w:val="BlockText"/>
      </w:pPr>
      <w:r>
        <w:t xml:space="preserve">the Mind of God gains not Its knowledge of things from those things</w:t>
      </w:r>
    </w:p>
    <w:p>
      <w:pPr>
        <w:pStyle w:val="FirstParagraph"/>
      </w:pPr>
      <w:r>
        <w:t xml:space="preserve">Divine Names VII.2, C. E. Rolt (1920), consulted at CCEL.</w:t>
      </w:r>
    </w:p>
    <w:p>
      <w:pPr>
        <w:pStyle w:val="BodyText"/>
      </w:pPr>
      <w:r>
        <w:t xml:space="preserve">A seal is patterned; the analogy does not establish divine simplicity. Causal knowledge does not alone settle counterfactual selection or all secondary free decisions.</w:t>
      </w:r>
    </w:p>
    <w:p>
      <w:pPr>
        <w:pStyle w:val="BodyText"/>
      </w:pPr>
      <w:hyperlink r:id="rId33">
        <w:r>
          <w:rPr>
            <w:rStyle w:val="Hyperlink"/>
          </w:rPr>
          <w:t xml:space="preserve">Divine Names II.5; V.8; VII.2–3; IX.6–7 →</w:t>
        </w:r>
      </w:hyperlink>
    </w:p>
    <w:p>
      <w:pPr>
        <w:pStyle w:val="BodyText"/>
      </w:pPr>
      <w:r>
        <w:t xml:space="preserve">John Scotus Eriugena</w:t>
      </w:r>
    </w:p>
    <w:bookmarkEnd w:id="34"/>
    <w:bookmarkStart w:id="36" w:name="the-frontier-of-manifestation"/>
    <w:p>
      <w:pPr>
        <w:pStyle w:val="Heading3"/>
      </w:pPr>
      <w:r>
        <w:t xml:space="preserve">The frontier of manifestation</w:t>
      </w:r>
    </w:p>
    <w:p>
      <w:pPr>
        <w:pStyle w:val="FirstParagraph"/>
      </w:pPr>
      <w:r>
        <w:t xml:space="preserve">Theophany—God’s manifestation—gives created expression genuine metaphysical importance. Yet the strong identity language and “as it were” divine self-creation make him a stress case: does expression disclose fullness, or supply God with a determination he lacked?</w:t>
      </w:r>
    </w:p>
    <w:p>
      <w:pPr>
        <w:pStyle w:val="BodyText"/>
      </w:pPr>
      <w:r>
        <w:t xml:space="preserve">Inherited Sheldon-Williams/O’Meara translation register; fresh specialist comparison with Dermot Moran’s SEP entry.</w:t>
      </w:r>
    </w:p>
    <w:p>
      <w:pPr>
        <w:pStyle w:val="BodyText"/>
      </w:pPr>
      <w:r>
        <w:t xml:space="preserve">The proposed use of this resource preserves real created disclosure while rejecting completion of God by the world. This selects and, where needed, corrects; it does not harmonize away his stronger claims.</w:t>
      </w:r>
    </w:p>
    <w:p>
      <w:pPr>
        <w:pStyle w:val="BodyText"/>
      </w:pPr>
      <w:hyperlink r:id="rId35">
        <w:r>
          <w:rPr>
            <w:rStyle w:val="Hyperlink"/>
          </w:rPr>
          <w:t xml:space="preserve">Periphyseon I.446D; I.454B–C; II.589B; III.678C–D; III.689B →</w:t>
        </w:r>
      </w:hyperlink>
    </w:p>
    <w:p>
      <w:pPr>
        <w:pStyle w:val="BodyText"/>
      </w:pPr>
      <w:r>
        <w:t xml:space="preserve">Maximus the Confessor</w:t>
      </w:r>
    </w:p>
    <w:bookmarkEnd w:id="36"/>
    <w:bookmarkStart w:id="38" w:name="intelligibility-is-not-yet-realization"/>
    <w:p>
      <w:pPr>
        <w:pStyle w:val="Heading3"/>
      </w:pPr>
      <w:r>
        <w:t xml:space="preserve">Intelligibility is not yet realization</w:t>
      </w:r>
    </w:p>
    <w:p>
      <w:pPr>
        <w:pStyle w:val="FirstParagraph"/>
      </w:pPr>
      <w:r>
        <w:t xml:space="preserve">One Logos and differentiated logoi—the intelligible principles of creatures—help explain an intelligible order without independent Forms. Creatures’ coming to exist in time must still be distinguished from their intelligible principles and God’s knowledge.</w:t>
      </w:r>
    </w:p>
    <w:p>
      <w:pPr>
        <w:pStyle w:val="BodyText"/>
      </w:pPr>
      <w:r>
        <w:t xml:space="preserve">Provisional Greek transcription reconsulted; collation with Nicholas Constas’s Ambigua (2014) remains outstanding.</w:t>
      </w:r>
    </w:p>
    <w:p>
      <w:pPr>
        <w:pStyle w:val="BodyText"/>
      </w:pPr>
      <w:r>
        <w:t xml:space="preserve">No modern relational theory of free divine action is attributed to Maximus. Logoi do not, merely by being determinate, actualize a world.</w:t>
      </w:r>
    </w:p>
    <w:p>
      <w:pPr>
        <w:pStyle w:val="BodyText"/>
      </w:pPr>
      <w:hyperlink r:id="rId37">
        <w:r>
          <w:rPr>
            <w:rStyle w:val="Hyperlink"/>
          </w:rPr>
          <w:t xml:space="preserve">Ambiguum 7; PG 91, 1077–1081; 1085–1088 →</w:t>
        </w:r>
      </w:hyperlink>
    </w:p>
    <w:p>
      <w:pPr>
        <w:pStyle w:val="BodyText"/>
      </w:pPr>
      <w:r>
        <w:t xml:space="preserve">Gregory of Nyssa</w:t>
      </w:r>
    </w:p>
    <w:bookmarkEnd w:id="38"/>
    <w:bookmarkStart w:id="40" w:name="an-images-mode-is-its-own"/>
    <w:p>
      <w:pPr>
        <w:pStyle w:val="Heading3"/>
      </w:pPr>
      <w:r>
        <w:t xml:space="preserve">An image’s mode is its own</w:t>
      </w:r>
    </w:p>
    <w:p>
      <w:pPr>
        <w:pStyle w:val="FirstParagraph"/>
      </w:pPr>
      <w:r>
        <w:t xml:space="preserve">Likeness in attributes does not erase the difference between created and uncreated nature. Received rational life includes voluntary virtue: dependence upon the ultimate source need not make created agency counterfeit.</w:t>
      </w:r>
    </w:p>
    <w:p>
      <w:pPr>
        <w:pStyle w:val="BlockText"/>
      </w:pPr>
      <w:r>
        <w:t xml:space="preserve">virtue is a voluntary thing, subject to no dominion</w:t>
      </w:r>
    </w:p>
    <w:p>
      <w:pPr>
        <w:pStyle w:val="FirstParagraph"/>
      </w:pPr>
      <w:r>
        <w:t xml:space="preserve">Moore/Wilson, NPNF, second series V; primary translation reconsulted.</w:t>
      </w:r>
    </w:p>
    <w:p>
      <w:pPr>
        <w:pStyle w:val="BodyText"/>
      </w:pPr>
      <w:r>
        <w:t xml:space="preserve">This does not derive divine free agency or establish every claim about infinity and epektasis. The anthropology contains further speculative commitments.</w:t>
      </w:r>
    </w:p>
    <w:p>
      <w:pPr>
        <w:pStyle w:val="BodyText"/>
      </w:pPr>
      <w:hyperlink r:id="rId39">
        <w:r>
          <w:rPr>
            <w:rStyle w:val="Hyperlink"/>
          </w:rPr>
          <w:t xml:space="preserve">On the Making of Man XVI →</w:t>
        </w:r>
      </w:hyperlink>
    </w:p>
    <w:p>
      <w:pPr>
        <w:pStyle w:val="BodyText"/>
      </w:pPr>
      <w:r>
        <w:t xml:space="preserve">Gregory Nazianzen</w:t>
      </w:r>
    </w:p>
    <w:bookmarkEnd w:id="40"/>
    <w:bookmarkStart w:id="42" w:name="Xac756cafcd733e80019c48d5ac39dbc30bdd06c"/>
    <w:p>
      <w:pPr>
        <w:pStyle w:val="Heading3"/>
      </w:pPr>
      <w:r>
        <w:t xml:space="preserve">Do not force relation into the wrong category</w:t>
      </w:r>
    </w:p>
    <w:p>
      <w:pPr>
        <w:pStyle w:val="FirstParagraph"/>
      </w:pPr>
      <w:r>
        <w:t xml:space="preserve">“Father” names neither a separate essence nor an action that produces a creature. Gregory’s category correction makes real personal distinction philosophically significant without treating persons as pieces of a divine whole.</w:t>
      </w:r>
    </w:p>
    <w:p>
      <w:pPr>
        <w:pStyle w:val="BlockText"/>
      </w:pPr>
      <w:r>
        <w:t xml:space="preserve">it is the name of the Relation in which the Father stands to the Son, and the Son to the Father.</w:t>
      </w:r>
    </w:p>
    <w:p>
      <w:pPr>
        <w:pStyle w:val="FirstParagraph"/>
      </w:pPr>
      <w:r>
        <w:t xml:space="preserve">Oration 29 §16, Browne/Swallow, NPNF, second series VII; directly consulted at CCEL.</w:t>
      </w:r>
    </w:p>
    <w:p>
      <w:pPr>
        <w:pStyle w:val="BodyText"/>
      </w:pPr>
      <w:r>
        <w:t xml:space="preserve">Begotten personal origin is not created existential dependence. This theological case does not prove that contingent creative direction can be relationally specified.</w:t>
      </w:r>
    </w:p>
    <w:p>
      <w:pPr>
        <w:pStyle w:val="BodyText"/>
      </w:pPr>
      <w:hyperlink r:id="rId41">
        <w:r>
          <w:rPr>
            <w:rStyle w:val="Hyperlink"/>
          </w:rPr>
          <w:t xml:space="preserve">Oration 29 §§6–8, 16 →</w:t>
        </w:r>
      </w:hyperlink>
    </w:p>
    <w:p>
      <w:pPr>
        <w:pStyle w:val="BodyText"/>
      </w:pPr>
      <w:r>
        <w:t xml:space="preserve">Joseph Ratzinger / Benedict XVI</w:t>
      </w:r>
    </w:p>
    <w:bookmarkEnd w:id="42"/>
    <w:bookmarkStart w:id="44" w:name="relation-that-preserves-the-person"/>
    <w:p>
      <w:pPr>
        <w:pStyle w:val="Heading3"/>
      </w:pPr>
      <w:r>
        <w:t xml:space="preserve">Relation that preserves the person</w:t>
      </w:r>
    </w:p>
    <w:p>
      <w:pPr>
        <w:pStyle w:val="FirstParagraph"/>
      </w:pPr>
      <w:r>
        <w:t xml:space="preserve">Ratzinger calls for a critical metaphysical evaluation of relation. Communion can preserve identity; God as universal source can be understood together with Logos and personal love. The inquiry therefore concerns concrete persons and their fulfillment, as well as abstract causal structure.</w:t>
      </w:r>
    </w:p>
    <w:p>
      <w:pPr>
        <w:pStyle w:val="BlockText"/>
      </w:pPr>
      <w:r>
        <w:t xml:space="preserve">true openness does not mean loss of individual identity</w:t>
      </w:r>
    </w:p>
    <w:p>
      <w:pPr>
        <w:pStyle w:val="FirstParagraph"/>
      </w:pPr>
      <w:r>
        <w:t xml:space="preserve">Caritas in veritate §54; unofficial transcript of the official English text consulted; official collation outstanding.</w:t>
      </w:r>
    </w:p>
    <w:p>
      <w:pPr>
        <w:pStyle w:val="BodyText"/>
      </w:pPr>
      <w:r>
        <w:t xml:space="preserve">Human growth through relationships does not prove that God remains intrinsically unchanged across alternative creations. Eternal personal relations are not alternative acts of creation. The 1990 Person essay remains an unconsulted lead.</w:t>
      </w:r>
    </w:p>
    <w:p>
      <w:pPr>
        <w:pStyle w:val="BodyText"/>
      </w:pPr>
      <w:hyperlink r:id="rId43">
        <w:r>
          <w:rPr>
            <w:rStyle w:val="Hyperlink"/>
          </w:rPr>
          <w:t xml:space="preserve">Caritas in veritate §§53–54; Deus caritas est §§9–10 →</w:t>
        </w:r>
      </w:hyperlink>
    </w:p>
    <w:p>
      <w:pPr>
        <w:pStyle w:val="BodyText"/>
      </w:pPr>
      <w:r>
        <w:t xml:space="preserve">Thomas Aquinas</w:t>
      </w:r>
    </w:p>
    <w:bookmarkEnd w:id="44"/>
    <w:bookmarkStart w:id="46" w:name="a-precise-bridge-with-a-definite-cost"/>
    <w:p>
      <w:pPr>
        <w:pStyle w:val="Heading3"/>
      </w:pPr>
      <w:r>
        <w:t xml:space="preserve">A precise bridge, with a definite cost</w:t>
      </w:r>
    </w:p>
    <w:p>
      <w:pPr>
        <w:pStyle w:val="FirstParagraph"/>
      </w:pPr>
      <w:r>
        <w:t xml:space="preserve">Dependence on parts, voluntary creation, knowing effects through self-knowledge, and asymmetric Creator–creature relations help answer distinct questions. His achievement helps specify the questions; it does not require adopting every part of his metaphysics as this page’s framework.</w:t>
      </w:r>
    </w:p>
    <w:p>
      <w:pPr>
        <w:pStyle w:val="BodyText"/>
      </w:pPr>
      <w:r>
        <w:t xml:space="preserve">Earlier-page primary-source and formal audit inherited; no fresh critical-edition collation here.</w:t>
      </w:r>
    </w:p>
    <w:p>
      <w:pPr>
        <w:pStyle w:val="BodyText"/>
      </w:pPr>
      <w:r>
        <w:t xml:space="preserve">A relation real in the creature need not add a feature to God; that claim must still explain genuine divine control. Each proposed real distinction still needs an argument showing whether it adds a constituent or received actuality to God.</w:t>
      </w:r>
    </w:p>
    <w:p>
      <w:pPr>
        <w:pStyle w:val="BodyText"/>
      </w:pPr>
      <w:hyperlink r:id="rId45">
        <w:r>
          <w:rPr>
            <w:rStyle w:val="Hyperlink"/>
          </w:rPr>
          <w:t xml:space="preserve">Summa theologiae I, q. 3; q. 14, aa. 5, 8, 13; q. 19, aa. 3, 7; q. 45, a. 3 →</w:t>
        </w:r>
      </w:hyperlink>
    </w:p>
    <w:bookmarkEnd w:id="46"/>
    <w:p>
      <w:pPr>
        <w:pStyle w:val="BodyText"/>
      </w:pPr>
      <w:r>
        <w:t xml:space="preserve">Augustine’s divine ideas help explain creaturely intelligibility without external standards; Anselm helps distinguish rational freedom from indeterminacy; Scotus insists upon genuine contingency rather than the mere finitude of an effect. Przywara preserves likeness within greater unlikeness. Their contributions on the earlier pages continue to constrain this proposal.</w:t>
      </w:r>
    </w:p>
    <w:p>
      <w:pPr>
        <w:pStyle w:val="BodyText"/>
      </w:pPr>
      <w:r>
        <w:t xml:space="preserve">07 / POSITIVE CONSEQUENCE</w:t>
      </w:r>
    </w:p>
    <w:bookmarkStart w:id="47" w:name="X2180b5989a9420f61a6b4d81341b0088721e320"/>
    <w:p>
      <w:pPr>
        <w:pStyle w:val="Heading2"/>
      </w:pPr>
      <w:r>
        <w:t xml:space="preserve">Received agency and the good of finite life</w:t>
      </w:r>
    </w:p>
    <w:p>
      <w:pPr>
        <w:pStyle w:val="FirstParagraph"/>
      </w:pPr>
      <w:r>
        <w:t xml:space="preserve">Dependence can enable a subject’s own act; finite conditions can constitute its good.</w:t>
      </w:r>
    </w:p>
    <w:bookmarkEnd w:id="47"/>
    <w:p>
      <w:pPr>
        <w:pStyle w:val="BodyText"/>
      </w:pPr>
      <w:r>
        <w:t xml:space="preserve">CONSTRUCTIVE APPLICATION WITH PRIMARY RESOURCES</w:t>
      </w:r>
    </w:p>
    <w:bookmarkStart w:id="48" w:name="Xdd192ad88014ef7feaacaa364f86dcfae64f8c6"/>
    <w:p>
      <w:pPr>
        <w:pStyle w:val="Heading3"/>
      </w:pPr>
      <w:r>
        <w:t xml:space="preserve">A power can be given and genuinely exercised</w:t>
      </w:r>
    </w:p>
    <w:p>
      <w:pPr>
        <w:pStyle w:val="FirstParagraph"/>
      </w:pPr>
      <w:r>
        <w:t xml:space="preserve">Participation means real dependent possession according to the participant’s mode. Applied to agency, this demands a further bridge: the creature must possess an operative power and exercise it through its own judgment, intention, and control. Receiving a power and using it are different relations. God’s sustaining the agent does not, merely by that fact, make God the subject of the agent’s intention.</w:t>
      </w:r>
    </w:p>
    <w:p>
      <w:pPr>
        <w:pStyle w:val="BodyText"/>
      </w:pPr>
      <w:r>
        <w:t xml:space="preserve">This gives secondary causality positive content. A musician may receive an instrument and still be the one who plays; support can enable a person’s choice rather than substitute for it. These finite comparisons do not prove the divine case, but they defeat the inference from dependence alone to passivity. The theological and metaphysical claim is stronger: God communicates real created powers whose exercises remain the creature’s acts. How divine concurrence preserves that control still requires a model; the word “participation” cannot supply one.</w:t>
      </w:r>
    </w:p>
    <w:bookmarkEnd w:id="48"/>
    <w:bookmarkStart w:id="49" w:name="three-meanings-of-limitation"/>
    <w:p>
      <w:pPr>
        <w:pStyle w:val="Heading3"/>
      </w:pPr>
      <w:r>
        <w:t xml:space="preserve">Three meanings of limitation</w:t>
      </w:r>
    </w:p>
    <w:p>
      <w:pPr>
        <w:pStyle w:val="FirstParagraph"/>
      </w:pPr>
      <w:r>
        <w:t xml:space="preserve">Some limitations are</w:t>
      </w:r>
      <w:r>
        <w:t xml:space="preserve"> </w:t>
      </w:r>
      <w:r>
        <w:rPr>
          <w:b/>
          <w:bCs/>
        </w:rPr>
        <w:t xml:space="preserve">privations</w:t>
      </w:r>
      <w:r>
        <w:t xml:space="preserve">: ignorance obstructs knowledge. Others are</w:t>
      </w:r>
      <w:r>
        <w:t xml:space="preserve"> </w:t>
      </w:r>
      <w:r>
        <w:rPr>
          <w:b/>
          <w:bCs/>
        </w:rPr>
        <w:t xml:space="preserve">positive conditions of a particular good</w:t>
      </w:r>
      <w:r>
        <w:t xml:space="preserve">: a melody needs succession, a conversation distinct speakers, a promise a history of fidelity. Still others are</w:t>
      </w:r>
      <w:r>
        <w:t xml:space="preserve"> </w:t>
      </w:r>
      <w:r>
        <w:rPr>
          <w:b/>
          <w:bCs/>
        </w:rPr>
        <w:t xml:space="preserve">adverse circumstances to which a good responds</w:t>
      </w:r>
      <w:r>
        <w:t xml:space="preserve">: courage in danger, healing after illness. Confusing these categories turns every finite condition into a defect or every good response into a justification of harm.</w:t>
      </w:r>
    </w:p>
    <w:p>
      <w:pPr>
        <w:pStyle w:val="BodyText"/>
      </w:pPr>
      <w:r>
        <w:t xml:space="preserve">The test is concrete: would removing this condition perfect the same good, or abolish that kind of good? Removing distortion improves the melody; sounding every note at once abolishes it. God can ground the goodness of learning without learning, and the goodness of courage without undergoing danger. The complete finite description need not be transferred into its source.</w:t>
      </w:r>
    </w:p>
    <w:p>
      <w:pPr>
        <w:pStyle w:val="BodyText"/>
      </w:pPr>
      <w:r>
        <w:t xml:space="preserve">Created novelty therefore matters. A friendship comes to exist; a child understands; an injustice is repaired. These are new goods in creatures, not missing episodes through which God becomes complete. Bonaventure’s proportion, Augustine’s passing words, and Nyssa’s voluntary virtue illuminate different aspects of that claim.</w:t>
      </w:r>
    </w:p>
    <w:bookmarkEnd w:id="49"/>
    <w:bookmarkStart w:id="50" w:name="communion-fulfills-without-absorbing"/>
    <w:p>
      <w:pPr>
        <w:pStyle w:val="Heading3"/>
      </w:pPr>
      <w:r>
        <w:t xml:space="preserve">Communion fulfills without absorbing</w:t>
      </w:r>
    </w:p>
    <w:p>
      <w:pPr>
        <w:pStyle w:val="FirstParagraph"/>
      </w:pPr>
      <w:r>
        <w:t xml:space="preserve">Ratzinger gives the argument a personal horizon: communion preserves identity. It requires knowing and loving, rather than mere dependence or proximity. Grace must enable the creature actually to know and love; divine activity passing through a passive shell would supply neither created agency nor communion. None of this turns suffering into a good simply because healing or courage can follow it.</w:t>
      </w:r>
    </w:p>
    <w:bookmarkEnd w:id="50"/>
    <w:p>
      <w:pPr>
        <w:pStyle w:val="BodyText"/>
      </w:pPr>
      <w:r>
        <w:t xml:space="preserve">08 / THEOLOGICAL BOUNDARY</w:t>
      </w:r>
    </w:p>
    <w:bookmarkStart w:id="51" w:name="X18f3360128681884cc1f7c99e5dcf0f63355c66"/>
    <w:p>
      <w:pPr>
        <w:pStyle w:val="Heading2"/>
      </w:pPr>
      <w:r>
        <w:t xml:space="preserve">One divine actuality, different kinds of determination</w:t>
      </w:r>
    </w:p>
    <w:p>
      <w:pPr>
        <w:pStyle w:val="FirstParagraph"/>
      </w:pPr>
      <w:r>
        <w:t xml:space="preserve">Essential meaning, personal origin, and contingent action cannot prove one another.</w:t>
      </w:r>
    </w:p>
    <w:bookmarkEnd w:id="51"/>
    <w:p>
      <w:pPr>
        <w:pStyle w:val="BodyText"/>
      </w:pPr>
      <w:r>
        <w:t xml:space="preserve">REVEALED COMMITMENTS ≠ PHILOSOPHICAL DEDUCTIONS</w:t>
      </w:r>
    </w:p>
    <w:p>
      <w:pPr>
        <w:pStyle w:val="BodyText"/>
      </w:pPr>
      <w:r>
        <w:t xml:space="preserve">The systematic distinction is between</w:t>
      </w:r>
      <w:r>
        <w:t xml:space="preserve"> </w:t>
      </w:r>
      <w:r>
        <w:rPr>
          <w:b/>
          <w:bCs/>
        </w:rPr>
        <w:t xml:space="preserve">being determinate</w:t>
      </w:r>
      <w:r>
        <w:t xml:space="preserve"> </w:t>
      </w:r>
      <w:r>
        <w:t xml:space="preserve">and</w:t>
      </w:r>
      <w:r>
        <w:t xml:space="preserve"> </w:t>
      </w:r>
      <w:r>
        <w:rPr>
          <w:b/>
          <w:bCs/>
        </w:rPr>
        <w:t xml:space="preserve">receiving actuality through a determination</w:t>
      </w:r>
      <w:r>
        <w:t xml:space="preserve">. It organizes several questions without reducing them to one relation.</w:t>
      </w:r>
    </w:p>
    <w:p>
      <w:pPr>
        <w:pStyle w:val="BodyText"/>
      </w:pPr>
      <w:r>
        <w:rPr>
          <w:b/>
          <w:bCs/>
        </w:rPr>
        <w:t xml:space="preserve">1.</w:t>
      </w:r>
      <w:r>
        <w:t xml:space="preserve"> </w:t>
      </w:r>
      <w:r>
        <w:rPr>
          <w:b/>
          <w:bCs/>
        </w:rPr>
        <w:t xml:space="preserve">Essential predication:</w:t>
      </w:r>
      <w:r>
        <w:t xml:space="preserve"> </w:t>
      </w:r>
      <w:r>
        <w:t xml:space="preserve">wisdom and power differ in meaning without thereby requiring separate actuality-parts. Their realization in one divine actuality needs its own perfection argument.</w:t>
      </w:r>
    </w:p>
    <w:p>
      <w:pPr>
        <w:pStyle w:val="BodyText"/>
      </w:pPr>
      <w:r>
        <w:rPr>
          <w:b/>
          <w:bCs/>
        </w:rPr>
        <w:t xml:space="preserve">2.</w:t>
      </w:r>
      <w:r>
        <w:t xml:space="preserve"> </w:t>
      </w:r>
      <w:r>
        <w:rPr>
          <w:b/>
          <w:bCs/>
        </w:rPr>
        <w:t xml:space="preserve">Personal origin:</w:t>
      </w:r>
      <w:r>
        <w:t xml:space="preserve"> </w:t>
      </w:r>
      <w:r>
        <w:t xml:space="preserve">Father, Son, and Spirit are really distinct by revealed relations of origin, without divided deity. The Son’s being from the Father is not creaturely reception, actualization from potency, or lesser possession of divine life.</w:t>
      </w:r>
    </w:p>
    <w:p>
      <w:pPr>
        <w:pStyle w:val="BodyText"/>
      </w:pPr>
      <w:r>
        <w:rPr>
          <w:b/>
          <w:bCs/>
        </w:rPr>
        <w:t xml:space="preserve">3.</w:t>
      </w:r>
      <w:r>
        <w:t xml:space="preserve"> </w:t>
      </w:r>
      <w:r>
        <w:rPr>
          <w:b/>
          <w:bCs/>
        </w:rPr>
        <w:t xml:space="preserve">Free outward action:</w:t>
      </w:r>
      <w:r>
        <w:t xml:space="preserve"> </w:t>
      </w:r>
      <w:r>
        <w:t xml:space="preserve">creating this world rather than another is a contingent intentional difference. The proposed relational account must explain it independently; personal relations do not prove its coherence.</w:t>
      </w:r>
    </w:p>
    <w:p>
      <w:pPr>
        <w:pStyle w:val="BodyText"/>
      </w:pPr>
      <w:r>
        <w:t xml:space="preserve">Nazianzen’s category correction and Bonaventure’s distinction by origin prevent simplicity from becoming the absence of every real distinction. They do not turn the Persons into alternative creative outputs. “All real difference is extrinsic” would itself contradict the revealed personal relations.</w:t>
      </w:r>
    </w:p>
    <w:p>
      <w:pPr>
        <w:pStyle w:val="BodyText"/>
      </w:pPr>
      <w:r>
        <w:t xml:space="preserve">The Incarnation is another distinct claim. Christ’s humanity is not an ordinary participant elevated until it becomes God. The one divine Son personally subsists in divine and human natures without confusion or division. His human willing and suffering are real; they do not become creaturely properties of the divine nature. General participation can protect the categories, but cannot establish the hypostatic union or the identity of Jesus Christ.</w:t>
      </w:r>
    </w:p>
    <w:p>
      <w:pPr>
        <w:pStyle w:val="BodyText"/>
      </w:pPr>
      <w:r>
        <w:t xml:space="preserve">Beatific vision supplies a final correction. Catholic teaching affirms immediate vision of God himself, not merely a created representation standing in for him. The finite act of seeing remains received and non-exhaustive: immediacy identifies the object, not equality with God’s cognitive mode. Neither personal distinction nor fulfilled communion entails partition, absorption, or the disappearance of created agency.</w:t>
      </w:r>
    </w:p>
    <w:p>
      <w:pPr>
        <w:pStyle w:val="BodyText"/>
      </w:pPr>
      <w:r>
        <w:t xml:space="preserve">09 / WHERE EXPLANATION FINALLY STOPS</w:t>
      </w:r>
    </w:p>
    <w:bookmarkStart w:id="52" w:name="X2aa4d949e88c090b5d8c079062bbf31a054818c"/>
    <w:p>
      <w:pPr>
        <w:pStyle w:val="Heading2"/>
      </w:pPr>
      <w:r>
        <w:t xml:space="preserve">A determinate explanation with explicit stopping points</w:t>
      </w:r>
    </w:p>
    <w:p>
      <w:pPr>
        <w:pStyle w:val="FirstParagraph"/>
      </w:pPr>
      <w:r>
        <w:t xml:space="preserve">Actuality, agency, and knowledge each make a distinct explanatory demand.</w:t>
      </w:r>
    </w:p>
    <w:bookmarkEnd w:id="52"/>
    <w:p>
      <w:pPr>
        <w:pStyle w:val="BodyText"/>
      </w:pPr>
      <w:r>
        <w:t xml:space="preserve">STARTING COMMITMENTS AND OPEN QUESTIONS</w:t>
      </w:r>
    </w:p>
    <w:p>
      <w:pPr>
        <w:pStyle w:val="BodyText"/>
      </w:pPr>
      <w:r>
        <w:rPr>
          <w:b/>
          <w:bCs/>
        </w:rPr>
        <w:t xml:space="preserve">Where Explanation Finally Stops.</w:t>
      </w:r>
      <w:r>
        <w:t xml:space="preserve"> </w:t>
      </w:r>
      <w:r>
        <w:t xml:space="preserve">Actuality tells us that something is so. It does not say why this intention occurs, what makes it the agent’s act, or how it is known. Individuation asks what makes it this particular action; constitution asks whether something more basic makes the agent what it is. An answer to either need not answer the other.</w:t>
      </w:r>
    </w:p>
    <w:p>
      <w:pPr>
        <w:pStyle w:val="BodyText"/>
      </w:pPr>
      <w:r>
        <w:t xml:space="preserve">The account terminates in an intelligent agent’s actual rational exercise, not in an infinite sequence of inner selectors. That stopping point is defensible only if the agent’s intention and control really explain the outcome. A lottery does not become authorship because its unexplained result has been called a choice. Conversely, an explanation need not be deterministic merely because it is genuine.</w:t>
      </w:r>
    </w:p>
    <w:p>
      <w:pPr>
        <w:pStyle w:val="BodyText"/>
      </w:pPr>
      <w:r>
        <w:t xml:space="preserve">Dependence on constituents excludes proper intrinsic parts in an absolutely underived source. It has not established intrinsic invariance across possible creations, every divine perfection, or a theory of free choice. Those bridges remain distinct. One concrete realizer of several compatible meanings does not demonstrate one unchanging intellect’s knowledge of incompatible alternative histories.</w:t>
      </w:r>
    </w:p>
    <w:p>
      <w:pPr>
        <w:pStyle w:val="BodyText"/>
      </w:pPr>
      <w:r>
        <w:t xml:space="preserve">Cause and recipient can clarify one another conceptually. Learning about God through effects need not make God depend upon those effects. A definitional circle would arise if source and reception were each defined entirely through the other; an ontological reversal would arise if creatures supplied the very actuality by which God explains them. Neither is required by the proposed relational explanation.</w:t>
      </w:r>
    </w:p>
    <w:p>
      <w:pPr>
        <w:pStyle w:val="SourceCode"/>
      </w:pPr>
      <w:r>
        <w:rPr>
          <w:rStyle w:val="VerbatimChar"/>
        </w:rPr>
        <w:t xml:space="preserve">U(g) + dependence on constituents ⇒ no proper intrinsic parts.</w:t>
      </w:r>
      <w:r>
        <w:br/>
      </w:r>
      <w:r>
        <w:rPr>
          <w:rStyle w:val="VerbatimChar"/>
        </w:rPr>
        <w:t xml:space="preserve">No proper parts ⇏ intrinsic invariance or free action.</w:t>
      </w:r>
      <w:r>
        <w:br/>
      </w:r>
      <w:r>
        <w:rPr>
          <w:rStyle w:val="VerbatimChar"/>
        </w:rPr>
        <w:t xml:space="preserve">S(g,e,p) + T(e,x) ⇒ intentional action that produces x.</w:t>
      </w:r>
      <w:r>
        <w:br/>
      </w:r>
      <w:r>
        <w:rPr>
          <w:rStyle w:val="VerbatimChar"/>
        </w:rPr>
        <w:t xml:space="preserve">S(g,e,p) + T(e,x) + SelfAccess(g,e)</w:t>
      </w:r>
      <w:r>
        <w:br/>
      </w:r>
      <w:r>
        <w:rPr>
          <w:rStyle w:val="VerbatimChar"/>
        </w:rPr>
        <w:t xml:space="preserve">+ Transparency(e,x) + Warrant(g,e)</w:t>
      </w:r>
      <w:r>
        <w:br/>
      </w:r>
      <w:r>
        <w:rPr>
          <w:rStyle w:val="VerbatimChar"/>
        </w:rPr>
        <w:t xml:space="preserve">⇒ knowledge of x through the action.</w:t>
      </w:r>
      <w:r>
        <w:br/>
      </w:r>
      <w:r>
        <w:rPr>
          <w:rStyle w:val="VerbatimChar"/>
        </w:rPr>
        <w:t xml:space="preserve">Knowledge of free secondary acts requires an additional awareness bridge.</w:t>
      </w:r>
    </w:p>
    <w:p>
      <w:pPr>
        <w:pStyle w:val="FirstParagraph"/>
      </w:pPr>
      <w:r>
        <w:t xml:space="preserve">The final line is indispensable. A formula that records comprehensive awareness would not derive it. The constructive explanation has a clear core and a clear remaining boundary.</w:t>
      </w:r>
    </w:p>
    <w:p>
      <w:pPr>
        <w:pStyle w:val="BodyText"/>
      </w:pPr>
      <w:r>
        <w:t xml:space="preserve">10 / DEVELOPMENT AND RIVALS</w:t>
      </w:r>
    </w:p>
    <w:bookmarkStart w:id="53" w:name="a-proposal-with-an-argumentative-cost"/>
    <w:p>
      <w:pPr>
        <w:pStyle w:val="Heading2"/>
      </w:pPr>
      <w:r>
        <w:t xml:space="preserve">A proposal with an argumentative cost</w:t>
      </w:r>
    </w:p>
    <w:p>
      <w:pPr>
        <w:pStyle w:val="FirstParagraph"/>
      </w:pPr>
      <w:r>
        <w:t xml:space="preserve">Its contribution is to connect distinct explanatory achievements without making them interchangeable.</w:t>
      </w:r>
    </w:p>
    <w:bookmarkEnd w:id="53"/>
    <w:p>
      <w:pPr>
        <w:pStyle w:val="BodyText"/>
      </w:pPr>
      <w:r>
        <w:t xml:space="preserve">NEWMAN-STYLE ANALOGY · PROVISIONAL</w:t>
      </w:r>
    </w:p>
    <w:p>
      <w:pPr>
        <w:pStyle w:val="BodyText"/>
      </w:pPr>
      <w:r>
        <w:t xml:space="preserve">The proposal preserves participation’s type: an uncreated source, real creaturely otherness and goodness, received possession, and asymmetric dependence. It assimilates theophany, exemplarism, personal relation, rational freedom, and secondary agency while keeping their different explanatory jobs visible. Its sequence is intelligible: participation raises questions about the source; simplicity raises questions about concrete intelligent action; action raises questions about contingent knowledge and communion.</w:t>
      </w:r>
    </w:p>
    <w:p>
      <w:pPr>
        <w:pStyle w:val="BodyText"/>
      </w:pPr>
      <w:r>
        <w:t xml:space="preserve">The positive gain is a coordinated account of determination without acquired divine completion. That is a systematic development of inherited distinctions, rather than a claim that the vocabulary names an unprecedented primitive or a new proof superior to every classical argument.</w:t>
      </w:r>
    </w:p>
    <w:p>
      <w:pPr>
        <w:pStyle w:val="BodyText"/>
      </w:pPr>
      <w:r>
        <w:t xml:space="preserve">Three strong rivals remain.</w:t>
      </w:r>
      <w:r>
        <w:t xml:space="preserve"> </w:t>
      </w:r>
      <w:r>
        <w:rPr>
          <w:b/>
          <w:bCs/>
        </w:rPr>
        <w:t xml:space="preserve">Necessary emanation</w:t>
      </w:r>
      <w:r>
        <w:t xml:space="preserve"> </w:t>
      </w:r>
      <w:r>
        <w:t xml:space="preserve">offers productive fullness but denies the required alternatives.</w:t>
      </w:r>
      <w:r>
        <w:t xml:space="preserve"> </w:t>
      </w:r>
      <w:r>
        <w:rPr>
          <w:b/>
          <w:bCs/>
        </w:rPr>
        <w:t xml:space="preserve">Intrinsic variation in divine intentions</w:t>
      </w:r>
      <w:r>
        <w:t xml:space="preserve"> </w:t>
      </w:r>
      <w:r>
        <w:t xml:space="preserve">preserves choice while denying invariance, without necessarily introducing proper parts.</w:t>
      </w:r>
      <w:r>
        <w:t xml:space="preserve"> </w:t>
      </w:r>
      <w:r>
        <w:rPr>
          <w:b/>
          <w:bCs/>
        </w:rPr>
        <w:t xml:space="preserve">An outcome-only relational account</w:t>
      </w:r>
      <w:r>
        <w:t xml:space="preserve"> </w:t>
      </w:r>
      <w:r>
        <w:t xml:space="preserve">preserves invariance but fails to supply intentional authorship. The present proposal succeeds only if it preserves the explanatory strengths of the second while excluding the failure of the third.</w:t>
      </w:r>
    </w:p>
    <w:p>
      <w:pPr>
        <w:pStyle w:val="BodyText"/>
      </w:pPr>
      <w:r>
        <w:t xml:space="preserve">Historical differences matter. Eriugena’s strongest identity and divine self-manifestation language is not simply Aquinas’s mixed relations; Scotus’s distinctions cannot be refuted by counting them as parts. These traditions supply arguments and counterpressure, not signatures beneath one modern theory.</w:t>
      </w:r>
    </w:p>
    <w:p>
      <w:pPr>
        <w:pStyle w:val="BodyText"/>
      </w:pPr>
      <w:r>
        <w:t xml:space="preserve">Newman’s preservation of type, continuity of principles, logical sequence, and assimilative power are useful tests. Long-term stability and explanatory fruitfulness remain prospective. The analogy does not certify this architecture as defined Catholic doctrine.</w:t>
      </w:r>
    </w:p>
    <w:bookmarkStart w:id="54" w:name="X655cac7ed4878b41af5dc54200e87a305c9980b"/>
    <w:p>
      <w:pPr>
        <w:pStyle w:val="Heading3"/>
      </w:pPr>
      <w:r>
        <w:t xml:space="preserve">What removing an assumption leaves unexplained</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Resource removed</w:t>
            </w:r>
          </w:p>
        </w:tc>
        <w:tc>
          <w:tcPr>
            <w:tcW w:type="dxa" w:w="3312"/>
            <w:shd w:fill="EAE5DA"/>
          </w:tcPr>
          <w:p>
            <w:pPr>
              <w:pStyle w:val="BodyText"/>
              <w:keepNext w:val="0"/>
              <w:spacing w:after="80" w:line="252" w:lineRule="auto"/>
              <w:jc w:val="left"/>
            </w:pPr>
            <w:r>
              <w:rPr>
                <w:rFonts w:ascii="Calibri" w:hAnsi="Calibri"/>
                <w:b/>
                <w:sz w:val="17"/>
              </w:rPr>
              <w:t xml:space="preserve">Explanatory loss</w:t>
            </w:r>
          </w:p>
        </w:tc>
        <w:tc>
          <w:tcPr>
            <w:tcW w:type="dxa" w:w="3312"/>
            <w:shd w:fill="EAE5DA"/>
          </w:tcPr>
          <w:p>
            <w:pPr>
              <w:pStyle w:val="BodyText"/>
              <w:keepNext w:val="0"/>
              <w:spacing w:after="80" w:line="252" w:lineRule="auto"/>
              <w:jc w:val="left"/>
            </w:pPr>
            <w:r>
              <w:rPr>
                <w:rFonts w:ascii="Calibri" w:hAnsi="Calibri"/>
                <w:b/>
                <w:sz w:val="17"/>
              </w:rPr>
              <w:t xml:space="preserve">Diagnostic rival</w:t>
            </w:r>
          </w:p>
        </w:tc>
      </w:tr>
      <w:tr>
        <w:tc>
          <w:tcPr>
            <w:tcW w:type="dxa" w:w="3312"/>
          </w:tcPr>
          <w:p>
            <w:pPr>
              <w:pStyle w:val="BodyText"/>
              <w:keepNext w:val="0"/>
              <w:spacing w:after="80" w:line="252" w:lineRule="auto"/>
              <w:jc w:val="left"/>
            </w:pPr>
            <w:r>
              <w:rPr>
                <w:rFonts w:ascii="Calibri" w:hAnsi="Calibri"/>
                <w:sz w:val="17"/>
              </w:rPr>
              <w:t xml:space="preserve">Recipient conditions</w:t>
            </w:r>
          </w:p>
        </w:tc>
        <w:tc>
          <w:tcPr>
            <w:tcW w:type="dxa" w:w="3312"/>
          </w:tcPr>
          <w:p>
            <w:pPr>
              <w:pStyle w:val="BodyText"/>
              <w:keepNext w:val="0"/>
              <w:spacing w:after="80" w:line="252" w:lineRule="auto"/>
              <w:jc w:val="left"/>
            </w:pPr>
            <w:r>
              <w:rPr>
                <w:rFonts w:ascii="Calibri" w:hAnsi="Calibri"/>
                <w:sz w:val="17"/>
              </w:rPr>
              <w:t xml:space="preserve">Variation must be explained elsewhere; different receptions lose their explanation.</w:t>
            </w:r>
          </w:p>
        </w:tc>
        <w:tc>
          <w:tcPr>
            <w:tcW w:type="dxa" w:w="3312"/>
          </w:tcPr>
          <w:p>
            <w:pPr>
              <w:pStyle w:val="BodyText"/>
              <w:keepNext w:val="0"/>
              <w:spacing w:after="80" w:line="252" w:lineRule="auto"/>
              <w:jc w:val="left"/>
            </w:pPr>
            <w:r>
              <w:rPr>
                <w:rFonts w:ascii="Calibri" w:hAnsi="Calibri"/>
                <w:sz w:val="17"/>
              </w:rPr>
              <w:t xml:space="preserve">Different impressions wrongly force different parts in their source.</w:t>
            </w:r>
          </w:p>
        </w:tc>
      </w:tr>
      <w:tr>
        <w:tc>
          <w:tcPr>
            <w:tcW w:type="dxa" w:w="3312"/>
          </w:tcPr>
          <w:p>
            <w:pPr>
              <w:pStyle w:val="BodyText"/>
              <w:keepNext w:val="0"/>
              <w:spacing w:after="80" w:line="252" w:lineRule="auto"/>
              <w:jc w:val="left"/>
            </w:pPr>
            <w:r>
              <w:rPr>
                <w:rFonts w:ascii="Calibri" w:hAnsi="Calibri"/>
                <w:sz w:val="17"/>
              </w:rPr>
              <w:t xml:space="preserve">Intention and control</w:t>
            </w:r>
          </w:p>
        </w:tc>
        <w:tc>
          <w:tcPr>
            <w:tcW w:type="dxa" w:w="3312"/>
          </w:tcPr>
          <w:p>
            <w:pPr>
              <w:pStyle w:val="BodyText"/>
              <w:keepNext w:val="0"/>
              <w:spacing w:after="80" w:line="252" w:lineRule="auto"/>
              <w:jc w:val="left"/>
            </w:pPr>
            <w:r>
              <w:rPr>
                <w:rFonts w:ascii="Calibri" w:hAnsi="Calibri"/>
                <w:sz w:val="17"/>
              </w:rPr>
              <w:t xml:space="preserve">A benefit or outcome remains without an intentional agent.</w:t>
            </w:r>
          </w:p>
        </w:tc>
        <w:tc>
          <w:tcPr>
            <w:tcW w:type="dxa" w:w="3312"/>
          </w:tcPr>
          <w:p>
            <w:pPr>
              <w:pStyle w:val="BodyText"/>
              <w:keepNext w:val="0"/>
              <w:spacing w:after="80" w:line="252" w:lineRule="auto"/>
              <w:jc w:val="left"/>
            </w:pPr>
            <w:r>
              <w:rPr>
                <w:rFonts w:ascii="Calibri" w:hAnsi="Calibri"/>
                <w:sz w:val="17"/>
              </w:rPr>
              <w:t xml:space="preserve">An accidentally arriving blanket still warms someone.</w:t>
            </w:r>
          </w:p>
        </w:tc>
      </w:tr>
      <w:tr>
        <w:tc>
          <w:tcPr>
            <w:tcW w:type="dxa" w:w="3312"/>
          </w:tcPr>
          <w:p>
            <w:pPr>
              <w:pStyle w:val="BodyText"/>
              <w:keepNext w:val="0"/>
              <w:spacing w:after="80" w:line="252" w:lineRule="auto"/>
              <w:jc w:val="left"/>
            </w:pPr>
            <w:r>
              <w:rPr>
                <w:rFonts w:ascii="Calibri" w:hAnsi="Calibri"/>
                <w:sz w:val="17"/>
              </w:rPr>
              <w:t xml:space="preserve">Actual action</w:t>
            </w:r>
          </w:p>
        </w:tc>
        <w:tc>
          <w:tcPr>
            <w:tcW w:type="dxa" w:w="3312"/>
          </w:tcPr>
          <w:p>
            <w:pPr>
              <w:pStyle w:val="BodyText"/>
              <w:keepNext w:val="0"/>
              <w:spacing w:after="80" w:line="252" w:lineRule="auto"/>
              <w:jc w:val="left"/>
            </w:pPr>
            <w:r>
              <w:rPr>
                <w:rFonts w:ascii="Calibri" w:hAnsi="Calibri"/>
                <w:sz w:val="17"/>
              </w:rPr>
              <w:t xml:space="preserve">A capacity or possible plan remains without an actual choice.</w:t>
            </w:r>
          </w:p>
        </w:tc>
        <w:tc>
          <w:tcPr>
            <w:tcW w:type="dxa" w:w="3312"/>
          </w:tcPr>
          <w:p>
            <w:pPr>
              <w:pStyle w:val="BodyText"/>
              <w:keepNext w:val="0"/>
              <w:spacing w:after="80" w:line="252" w:lineRule="auto"/>
              <w:jc w:val="left"/>
            </w:pPr>
            <w:r>
              <w:rPr>
                <w:rFonts w:ascii="Calibri" w:hAnsi="Calibri"/>
                <w:sz w:val="17"/>
              </w:rPr>
              <w:t xml:space="preserve">The same powers alone identify neither creation nor refraining.</w:t>
            </w:r>
          </w:p>
        </w:tc>
      </w:tr>
      <w:tr>
        <w:tc>
          <w:tcPr>
            <w:tcW w:type="dxa" w:w="3312"/>
          </w:tcPr>
          <w:p>
            <w:pPr>
              <w:pStyle w:val="BodyText"/>
              <w:keepNext w:val="0"/>
              <w:spacing w:after="80" w:line="252" w:lineRule="auto"/>
              <w:jc w:val="left"/>
            </w:pPr>
            <w:r>
              <w:rPr>
                <w:rFonts w:ascii="Calibri" w:hAnsi="Calibri"/>
                <w:sz w:val="17"/>
              </w:rPr>
              <w:t xml:space="preserve">Producing the intended outcome</w:t>
            </w:r>
          </w:p>
        </w:tc>
        <w:tc>
          <w:tcPr>
            <w:tcW w:type="dxa" w:w="3312"/>
          </w:tcPr>
          <w:p>
            <w:pPr>
              <w:pStyle w:val="BodyText"/>
              <w:keepNext w:val="0"/>
              <w:spacing w:after="80" w:line="252" w:lineRule="auto"/>
              <w:jc w:val="left"/>
            </w:pPr>
            <w:r>
              <w:rPr>
                <w:rFonts w:ascii="Calibri" w:hAnsi="Calibri"/>
                <w:sz w:val="17"/>
              </w:rPr>
              <w:t xml:space="preserve">An intention remains without success.</w:t>
            </w:r>
          </w:p>
        </w:tc>
        <w:tc>
          <w:tcPr>
            <w:tcW w:type="dxa" w:w="3312"/>
          </w:tcPr>
          <w:p>
            <w:pPr>
              <w:pStyle w:val="BodyText"/>
              <w:keepNext w:val="0"/>
              <w:spacing w:after="80" w:line="252" w:lineRule="auto"/>
              <w:jc w:val="left"/>
            </w:pPr>
            <w:r>
              <w:rPr>
                <w:rFonts w:ascii="Calibri" w:hAnsi="Calibri"/>
                <w:sz w:val="17"/>
              </w:rPr>
              <w:t xml:space="preserve">A planned gift may never arrive.</w:t>
            </w:r>
          </w:p>
        </w:tc>
      </w:tr>
      <w:tr>
        <w:tc>
          <w:tcPr>
            <w:tcW w:type="dxa" w:w="3312"/>
          </w:tcPr>
          <w:p>
            <w:pPr>
              <w:pStyle w:val="BodyText"/>
              <w:keepNext w:val="0"/>
              <w:spacing w:after="80" w:line="252" w:lineRule="auto"/>
              <w:jc w:val="left"/>
            </w:pPr>
            <w:r>
              <w:rPr>
                <w:rFonts w:ascii="Calibri" w:hAnsi="Calibri"/>
                <w:sz w:val="17"/>
              </w:rPr>
              <w:t xml:space="preserve">Access and justification</w:t>
            </w:r>
          </w:p>
        </w:tc>
        <w:tc>
          <w:tcPr>
            <w:tcW w:type="dxa" w:w="3312"/>
          </w:tcPr>
          <w:p>
            <w:pPr>
              <w:pStyle w:val="BodyText"/>
              <w:keepNext w:val="0"/>
              <w:spacing w:after="80" w:line="252" w:lineRule="auto"/>
              <w:jc w:val="left"/>
            </w:pPr>
            <w:r>
              <w:rPr>
                <w:rFonts w:ascii="Calibri" w:hAnsi="Calibri"/>
                <w:sz w:val="17"/>
              </w:rPr>
              <w:t xml:space="preserve">True content can remain without established knowledge.</w:t>
            </w:r>
          </w:p>
        </w:tc>
        <w:tc>
          <w:tcPr>
            <w:tcW w:type="dxa" w:w="3312"/>
          </w:tcPr>
          <w:p>
            <w:pPr>
              <w:pStyle w:val="BodyText"/>
              <w:keepNext w:val="0"/>
              <w:spacing w:after="80" w:line="252" w:lineRule="auto"/>
              <w:jc w:val="left"/>
            </w:pPr>
            <w:r>
              <w:rPr>
                <w:rFonts w:ascii="Calibri" w:hAnsi="Calibri"/>
                <w:sz w:val="17"/>
              </w:rPr>
              <w:t xml:space="preserve">A lucky guess is correct but unsupported.</w:t>
            </w:r>
          </w:p>
        </w:tc>
      </w:tr>
      <w:tr>
        <w:tc>
          <w:tcPr>
            <w:tcW w:type="dxa" w:w="3312"/>
          </w:tcPr>
          <w:p>
            <w:pPr>
              <w:pStyle w:val="BodyText"/>
              <w:keepNext w:val="0"/>
              <w:spacing w:after="80" w:line="252" w:lineRule="auto"/>
              <w:jc w:val="left"/>
            </w:pPr>
            <w:r>
              <w:rPr>
                <w:rFonts w:ascii="Calibri" w:hAnsi="Calibri"/>
                <w:sz w:val="17"/>
              </w:rPr>
              <w:t xml:space="preserve">Intrinsic invariance</w:t>
            </w:r>
          </w:p>
        </w:tc>
        <w:tc>
          <w:tcPr>
            <w:tcW w:type="dxa" w:w="3312"/>
          </w:tcPr>
          <w:p>
            <w:pPr>
              <w:pStyle w:val="BodyText"/>
              <w:keepNext w:val="0"/>
              <w:spacing w:after="80" w:line="252" w:lineRule="auto"/>
              <w:jc w:val="left"/>
            </w:pPr>
            <w:r>
              <w:rPr>
                <w:rFonts w:ascii="Calibri" w:hAnsi="Calibri"/>
                <w:sz w:val="17"/>
              </w:rPr>
              <w:t xml:space="preserve">An agent may have no proper parts while its intrinsic intentions differ across alternatives.</w:t>
            </w:r>
          </w:p>
        </w:tc>
        <w:tc>
          <w:tcPr>
            <w:tcW w:type="dxa" w:w="3312"/>
          </w:tcPr>
          <w:p>
            <w:pPr>
              <w:pStyle w:val="BodyText"/>
              <w:keepNext w:val="0"/>
              <w:spacing w:after="80" w:line="252" w:lineRule="auto"/>
              <w:jc w:val="left"/>
            </w:pPr>
            <w:r>
              <w:rPr>
                <w:rFonts w:ascii="Calibri" w:hAnsi="Calibri"/>
                <w:sz w:val="17"/>
              </w:rPr>
              <w:t xml:space="preserve">A rival rejects the claim that God remains intrinsically the same.</w:t>
            </w:r>
          </w:p>
        </w:tc>
      </w:tr>
    </w:tbl>
    <w:p>
      <w:pPr>
        <w:pStyle w:val="BodyText"/>
      </w:pPr>
      <w:r>
        <w:t xml:space="preserve">These are losses within the proposed explanation. They do not establish that no rival account could replace an omitted assumption.</w:t>
      </w:r>
    </w:p>
    <w:bookmarkEnd w:id="54"/>
    <w:p>
      <w:pPr>
        <w:pStyle w:val="BodyText"/>
      </w:pPr>
      <w:r>
        <w:t xml:space="preserve">Q&amp;A / DIRECT ANSWERS</w:t>
      </w:r>
    </w:p>
    <w:bookmarkStart w:id="55" w:name="questions-answers"/>
    <w:p>
      <w:pPr>
        <w:pStyle w:val="Heading2"/>
      </w:pPr>
      <w:r>
        <w:t xml:space="preserve">Questions &amp; answers</w:t>
      </w:r>
    </w:p>
    <w:p>
      <w:pPr>
        <w:pStyle w:val="FirstParagraph"/>
      </w:pPr>
      <w:r>
        <w:t xml:space="preserve">This intended creation, knowledge of actual action, and the significance of finite goods.</w:t>
      </w:r>
    </w:p>
    <w:bookmarkEnd w:id="55"/>
    <w:bookmarkStart w:id="64" w:name="X5a3f6bf76432bb43a071e4c9f6e55c44b79fc73"/>
    <w:p>
      <w:pPr>
        <w:pStyle w:val="Heading3"/>
      </w:pPr>
      <w:r>
        <w:t xml:space="preserve">07</w:t>
      </w:r>
      <w:r>
        <w:t xml:space="preserve"> </w:t>
      </w:r>
      <w:r>
        <w:t xml:space="preserve">/</w:t>
      </w:r>
      <w:r>
        <w:t xml:space="preserve"> </w:t>
      </w:r>
      <w:r>
        <w:t xml:space="preserve">What makes this creation God's actual intention without creation adding an intrinsic determination to God?</w:t>
      </w:r>
      <w:r>
        <w:t xml:space="preserve">+</w:t>
      </w:r>
    </w:p>
    <w:p>
      <w:pPr>
        <w:pStyle w:val="FirstParagraph"/>
      </w:pPr>
      <w:r>
        <w:t xml:space="preserve">The proposed answer is an actual intentional action directed toward this creation. The source understands the intended good and voluntarily exercises effective power toward it; the world receives the resulting actuality. This distinguishes the reason for acting, actual authorship, and successful production. The intention does explanatory work before the effect supplies its description, where before means explanatory priority rather than a temporal interval. A general creative capacity or the completed world's existence would not explain why this world was intended.</w:t>
      </w:r>
    </w:p>
    <w:p>
      <w:pPr>
        <w:pStyle w:val="BodyText"/>
      </w:pPr>
      <w:r>
        <w:t xml:space="preserve">This is a disputed compatibility proposal, not a result secured by calling the action relational. It must explain why that relation is genuine intentional agency rather than a new description attached to the outcome. A rival permits different intrinsic intentions across possibilities while denying parts or temporal acquisition. Noncomposition alone has not refuted it. The central burden is to defend determinate divine action with no difference in God's intrinsic actuality across those alternatives.</w:t>
      </w:r>
    </w:p>
    <w:bookmarkStart w:id="56" w:name="the-premises-behind-this-answer"/>
    <w:p>
      <w:pPr>
        <w:pStyle w:val="Heading3"/>
      </w:pPr>
      <w:r>
        <w:t xml:space="preserve">The premises behind this answer</w:t>
      </w:r>
    </w:p>
    <w:bookmarkEnd w:id="56"/>
    <w:bookmarkStart w:id="60" w:name="Xcc664fe26a6d7a9f0cf401e80e6343fcedc7f3c"/>
    <w:p>
      <w:pPr>
        <w:pStyle w:val="Heading3"/>
      </w:pPr>
      <w:r>
        <w:t xml:space="preserve">A relational account of intentional action</w:t>
      </w:r>
    </w:p>
    <w:p>
      <w:pPr>
        <w:pStyle w:val="FirstParagraph"/>
      </w:pPr>
      <w:r>
        <w:t xml:space="preserve">Adds a proposed account of real intentional direction while retaining the stronger claim of identical intrinsic actuality across alternatives. The relational ontology remains disputed.</w:t>
      </w:r>
    </w:p>
    <w:bookmarkStart w:id="57" w:name="adopt-these-premises"/>
    <w:p>
      <w:pPr>
        <w:pStyle w:val="Heading4"/>
      </w:pPr>
      <w:r>
        <w:t xml:space="preserve">Adopt these premises</w:t>
      </w:r>
    </w:p>
    <w:p>
      <w:pPr>
        <w:pStyle w:val="FirstParagraph"/>
      </w:pPr>
      <w:r>
        <w:rPr>
          <w:b/>
          <w:bCs/>
        </w:rPr>
        <w:t xml:space="preserve">1.</w:t>
      </w:r>
      <w:r>
        <w:t xml:space="preserve"> </w:t>
      </w:r>
      <w:r>
        <w:t xml:space="preserve">Actual voluntary action is an irreducible fact of an agent's reason-guided control, not just a power or an effect-description.</w:t>
      </w:r>
    </w:p>
    <w:p>
      <w:pPr>
        <w:pStyle w:val="BodyText"/>
      </w:pPr>
      <w:r>
        <w:rPr>
          <w:b/>
          <w:bCs/>
        </w:rPr>
        <w:t xml:space="preserve">2.</w:t>
      </w:r>
      <w:r>
        <w:t xml:space="preserve"> </w:t>
      </w:r>
      <w:r>
        <w:t xml:space="preserve">Its particular direction concerns understood possible content; successful production makes that content actual without the effect causing the intention.</w:t>
      </w:r>
    </w:p>
    <w:p>
      <w:pPr>
        <w:pStyle w:val="BodyText"/>
      </w:pPr>
      <w:r>
        <w:rPr>
          <w:b/>
          <w:bCs/>
        </w:rPr>
        <w:t xml:space="preserve">3.</w:t>
      </w:r>
      <w:r>
        <w:t xml:space="preserve"> </w:t>
      </w:r>
      <w:r>
        <w:t xml:space="preserve">Adopt the stronger commitment that God's intrinsic actuality is the same across creation alternatives.</w:t>
      </w:r>
    </w:p>
    <w:p>
      <w:pPr>
        <w:pStyle w:val="BodyText"/>
      </w:pPr>
      <w:r>
        <w:rPr>
          <w:b/>
          <w:bCs/>
        </w:rPr>
        <w:t xml:space="preserve">4.</w:t>
      </w:r>
      <w:r>
        <w:t xml:space="preserve"> </w:t>
      </w:r>
      <w:r>
        <w:t xml:space="preserve">A contingent creative intention can be genuinely determinate in the agent's real relation to understood content without any added or different intrinsic actuality in God.</w:t>
      </w:r>
    </w:p>
    <w:bookmarkEnd w:id="57"/>
    <w:bookmarkStart w:id="58" w:name="why-adopt-them"/>
    <w:p>
      <w:pPr>
        <w:pStyle w:val="Heading4"/>
      </w:pPr>
      <w:r>
        <w:t xml:space="preserve">Why adopt them?</w:t>
      </w:r>
    </w:p>
    <w:p>
      <w:pPr>
        <w:pStyle w:val="FirstParagraph"/>
      </w:pPr>
      <w:r>
        <w:t xml:space="preserve">The proposed relation includes agent, intended content, and actual control: identical physical effects can serve different intentions. It is the agent's action toward its object, not an independently existing intermediary. The agent explains its productive origin; reasons explain its purpose without uniquely necessitating it. With intrinsic sameness retained, the contingent difference is assigned to this actual intentional relation. Merely acquiring the description Creator would supply none of that control or direction. Across alternatives, the contingent difference belongs to the complete fact of the agent acting toward an intended object; the intended creature does not produce the agent's act.</w:t>
      </w:r>
    </w:p>
    <w:bookmarkEnd w:id="58"/>
    <w:bookmarkStart w:id="59" w:name="what-follows-if-they-hold"/>
    <w:p>
      <w:pPr>
        <w:pStyle w:val="Heading4"/>
      </w:pPr>
      <w:r>
        <w:t xml:space="preserve">What follows if they hold?</w:t>
      </w:r>
    </w:p>
    <w:p>
      <w:pPr>
        <w:pStyle w:val="FirstParagraph"/>
      </w:pPr>
      <w:r>
        <w:t xml:space="preserve">God's determinate willing can be treated as a real action whose relational content differs, without creation supplying divine actuality. Explanation stops at rational voluntary agency.</w:t>
      </w:r>
    </w:p>
    <w:p>
      <w:pPr>
        <w:pStyle w:val="BodyText"/>
      </w:pPr>
      <w:r>
        <w:rPr>
          <w:b/>
          <w:bCs/>
        </w:rPr>
        <w:t xml:space="preserve">What remains to defend.</w:t>
      </w:r>
      <w:r>
        <w:t xml:space="preserve"> </w:t>
      </w:r>
      <w:r>
        <w:t xml:space="preserve">The claim that real intentional direction involves no intrinsic difference is the disputed ontological addition. It must explain control rather than merely name an outcome. Noncomposition and the finite examples do not prove it; the intrinsic-intention rival remains open.</w:t>
      </w:r>
    </w:p>
    <w:bookmarkEnd w:id="59"/>
    <w:bookmarkEnd w:id="60"/>
    <w:p>
      <w:pPr>
        <w:pStyle w:val="BodyText"/>
      </w:pPr>
      <w:hyperlink r:id="rId61">
        <w:r>
          <w:rPr>
            <w:rStyle w:val="Hyperlink"/>
          </w:rPr>
          <w:t xml:space="preserve">The proposal and its rival</w:t>
        </w:r>
      </w:hyperlink>
      <w:r>
        <w:t xml:space="preserve"> </w:t>
      </w:r>
      <w:r>
        <w:t xml:space="preserve">|</w:t>
      </w:r>
      <w:r>
        <w:t xml:space="preserve"> </w:t>
      </w:r>
      <w:hyperlink r:id="rId62">
        <w:r>
          <w:rPr>
            <w:rStyle w:val="Hyperlink"/>
          </w:rPr>
          <w:t xml:space="preserve">Compare actions and outcomes</w:t>
        </w:r>
      </w:hyperlink>
      <w:r>
        <w:t xml:space="preserve"> </w:t>
      </w:r>
      <w:r>
        <w:t xml:space="preserve">|</w:t>
      </w:r>
      <w:r>
        <w:t xml:space="preserve"> </w:t>
      </w:r>
      <w:hyperlink r:id="rId63">
        <w:r>
          <w:rPr>
            <w:rStyle w:val="Hyperlink"/>
          </w:rPr>
          <w:t xml:space="preserve">Where the explanation stops</w:t>
        </w:r>
      </w:hyperlink>
    </w:p>
    <w:bookmarkEnd w:id="64"/>
    <w:bookmarkStart w:id="72" w:name="X4899424abf8793e1bee93ae2e461d8518d9b3cc"/>
    <w:p>
      <w:pPr>
        <w:pStyle w:val="Heading3"/>
      </w:pPr>
      <w:r>
        <w:t xml:space="preserve">08</w:t>
      </w:r>
      <w:r>
        <w:t xml:space="preserve"> </w:t>
      </w:r>
      <w:r>
        <w:t xml:space="preserve">/</w:t>
      </w:r>
      <w:r>
        <w:t xml:space="preserve"> </w:t>
      </w:r>
      <w:r>
        <w:t xml:space="preserve">How could God know what he actually wills and does without learning it from creation?</w:t>
      </w:r>
      <w:r>
        <w:t xml:space="preserve">+</w:t>
      </w:r>
    </w:p>
    <w:p>
      <w:pPr>
        <w:pStyle w:val="FirstParagraph"/>
      </w:pPr>
      <w:r>
        <w:t xml:space="preserve">Through knowledge of his own actual intelligent action, if that action and its effect are adequately disclosed to him. Knowing every possible plan is not yet knowing which action occurs. The proposal therefore adds warranted awareness of the actual action and its particular intention, understanding of its efficacy, and adequate grasp of what follows from those facts. On those conditions, the effect is known through the action producing it, rather than teaching God what happened.</w:t>
      </w:r>
    </w:p>
    <w:p>
      <w:pPr>
        <w:pStyle w:val="BodyText"/>
      </w:pPr>
      <w:r>
        <w:t xml:space="preserve">This accounts for effects adequately specified and disclosed in the productive intention. A permitted creaturely choice poses a further question: receiving power is not the same as God supplying that creature's intention. The page therefore considers an additional proposal of direct, non-receptive cognitive presence to the actual choice. Its truth can require that the choice really occur without the choice supplying God's cognitive actuality. Separating these relations removes a confusion; adequate cognitive access and, for future choices, an account of eternal knowledge still need their own defense.</w:t>
      </w:r>
    </w:p>
    <w:bookmarkStart w:id="65" w:name="the-premises-behind-this-answer-1"/>
    <w:p>
      <w:pPr>
        <w:pStyle w:val="Heading3"/>
      </w:pPr>
      <w:r>
        <w:t xml:space="preserve">The premises behind this answer</w:t>
      </w:r>
    </w:p>
    <w:bookmarkEnd w:id="65"/>
    <w:bookmarkStart w:id="69" w:name="Xca0a11276f2bf10505de7d7703ebf42a753c512"/>
    <w:p>
      <w:pPr>
        <w:pStyle w:val="Heading3"/>
      </w:pPr>
      <w:r>
        <w:t xml:space="preserve">Knowledge through one's intelligent action</w:t>
      </w:r>
    </w:p>
    <w:p>
      <w:pPr>
        <w:pStyle w:val="FirstParagraph"/>
      </w:pPr>
      <w:r>
        <w:t xml:space="preserve">Adds awareness of actual action, adequate disclosure of its effect, and epistemic warrant. Non-receptive access and infallible efficacy are further divine commitments.</w:t>
      </w:r>
    </w:p>
    <w:bookmarkStart w:id="66" w:name="adopt-these-premises-1"/>
    <w:p>
      <w:pPr>
        <w:pStyle w:val="Heading4"/>
      </w:pPr>
      <w:r>
        <w:t xml:space="preserve">Adopt these premises</w:t>
      </w:r>
    </w:p>
    <w:p>
      <w:pPr>
        <w:pStyle w:val="FirstParagraph"/>
      </w:pPr>
      <w:r>
        <w:rPr>
          <w:b/>
          <w:bCs/>
        </w:rPr>
        <w:t xml:space="preserve">1.</w:t>
      </w:r>
      <w:r>
        <w:t xml:space="preserve"> </w:t>
      </w:r>
      <w:r>
        <w:t xml:space="preserve">The source has accurate awareness of its actual action and determinate intention, without receiving cognitive actuality from the effect. Knowing possible plans alone is insufficient.</w:t>
      </w:r>
    </w:p>
    <w:p>
      <w:pPr>
        <w:pStyle w:val="BodyText"/>
      </w:pPr>
      <w:r>
        <w:rPr>
          <w:b/>
          <w:bCs/>
        </w:rPr>
        <w:t xml:space="preserve">2.</w:t>
      </w:r>
      <w:r>
        <w:t xml:space="preserve"> </w:t>
      </w:r>
      <w:r>
        <w:t xml:space="preserve">Its creative power infallibly realizes the intended content within the intention's scope, and the source has adequately warranted awareness of that connection between actual execution and successful realization.</w:t>
      </w:r>
    </w:p>
    <w:p>
      <w:pPr>
        <w:pStyle w:val="BodyText"/>
      </w:pPr>
      <w:r>
        <w:rPr>
          <w:b/>
          <w:bCs/>
        </w:rPr>
        <w:t xml:space="preserve">3.</w:t>
      </w:r>
      <w:r>
        <w:t xml:space="preserve"> </w:t>
      </w:r>
      <w:r>
        <w:t xml:space="preserve">The awareness has epistemic warrant through intelligent direction, competence, and adequate access, rather than lucky agreement with the outcome.</w:t>
      </w:r>
    </w:p>
    <w:p>
      <w:pPr>
        <w:pStyle w:val="BodyText"/>
      </w:pPr>
      <w:r>
        <w:rPr>
          <w:b/>
          <w:bCs/>
        </w:rPr>
        <w:t xml:space="preserve">4.</w:t>
      </w:r>
      <w:r>
        <w:t xml:space="preserve"> </w:t>
      </w:r>
      <w:r>
        <w:t xml:space="preserve">The source adequately grasps that actual execution and infallible efficacy entail the intended effect. This need not be a temporal process of inference.</w:t>
      </w:r>
    </w:p>
    <w:bookmarkEnd w:id="66"/>
    <w:bookmarkStart w:id="67" w:name="why-adopt-them-1"/>
    <w:p>
      <w:pPr>
        <w:pStyle w:val="Heading4"/>
      </w:pPr>
      <w:r>
        <w:t xml:space="preserve">Why adopt them?</w:t>
      </w:r>
    </w:p>
    <w:p>
      <w:pPr>
        <w:pStyle w:val="FirstParagraph"/>
      </w:pPr>
      <w:r>
        <w:t xml:space="preserve">An intention can guide production, rather than being inferred from the finished product. Awareness of actual execution, together with warranted knowledge of its efficacy, gives a positive route to knowing what is produced. The action explains the effect. Warranted awareness of actual execution and its assured efficacy, together with grasp of their implication, warrants the conclusion that the intended effect occurs. Truth depends on what actually happens without requiring the effect to actualize cognition. Dionysius's causal knowledge and Aquinas's knowing as cause joined to willing supply historical resources.</w:t>
      </w:r>
    </w:p>
    <w:bookmarkEnd w:id="67"/>
    <w:bookmarkStart w:id="68" w:name="what-follows-if-they-hold-1"/>
    <w:p>
      <w:pPr>
        <w:pStyle w:val="Heading4"/>
      </w:pPr>
      <w:r>
        <w:t xml:space="preserve">What follows if they hold?</w:t>
      </w:r>
    </w:p>
    <w:p>
      <w:pPr>
        <w:pStyle w:val="FirstParagraph"/>
      </w:pPr>
      <w:r>
        <w:t xml:space="preserve">On these premises, the source knows its creative action and disclosed effect without learning from that effect.</w:t>
      </w:r>
    </w:p>
    <w:p>
      <w:pPr>
        <w:pStyle w:val="BodyText"/>
      </w:pPr>
      <w:r>
        <w:rPr>
          <w:b/>
          <w:bCs/>
        </w:rPr>
        <w:t xml:space="preserve">What remains to defend.</w:t>
      </w:r>
      <w:r>
        <w:t xml:space="preserve"> </w:t>
      </w:r>
      <w:r>
        <w:t xml:space="preserve">Non-receptive access, infallible efficacy, adequate disclosure, and warrant are additional premises. Extending the account to permitted secondary choices requires a further cognitive relation to their actual exercise. Extending it to future contingents also requires an account of eternity or another defended basis of foreknowledge; neither follows from causal presence alone.</w:t>
      </w:r>
    </w:p>
    <w:bookmarkEnd w:id="68"/>
    <w:bookmarkEnd w:id="69"/>
    <w:p>
      <w:pPr>
        <w:pStyle w:val="BodyText"/>
      </w:pPr>
      <w:hyperlink r:id="rId70">
        <w:r>
          <w:rPr>
            <w:rStyle w:val="Hyperlink"/>
          </w:rPr>
          <w:t xml:space="preserve">Knowledge and its limits</w:t>
        </w:r>
      </w:hyperlink>
      <w:r>
        <w:t xml:space="preserve"> </w:t>
      </w:r>
      <w:r>
        <w:t xml:space="preserve">|</w:t>
      </w:r>
      <w:r>
        <w:t xml:space="preserve"> </w:t>
      </w:r>
      <w:hyperlink r:id="rId71">
        <w:r>
          <w:rPr>
            <w:rStyle w:val="Hyperlink"/>
          </w:rPr>
          <w:t xml:space="preserve">The separate epistemic premises</w:t>
        </w:r>
      </w:hyperlink>
    </w:p>
    <w:bookmarkEnd w:id="72"/>
    <w:bookmarkStart w:id="80" w:name="X88a2671390d5dfe512733dc07a69d7cdf582295"/>
    <w:p>
      <w:pPr>
        <w:pStyle w:val="Heading3"/>
      </w:pPr>
      <w:r>
        <w:t xml:space="preserve">09</w:t>
      </w:r>
      <w:r>
        <w:t xml:space="preserve"> </w:t>
      </w:r>
      <w:r>
        <w:t xml:space="preserve">/</w:t>
      </w:r>
      <w:r>
        <w:t xml:space="preserve"> </w:t>
      </w:r>
      <w:r>
        <w:t xml:space="preserve">If creation supplies nothing God needs, why do finite creatures and their histories matter?</w:t>
      </w:r>
      <w:r>
        <w:t xml:space="preserve">+</w:t>
      </w:r>
    </w:p>
    <w:p>
      <w:pPr>
        <w:pStyle w:val="FirstParagraph"/>
      </w:pPr>
      <w:r>
        <w:t xml:space="preserve">Because received reality and goodness remain real. Some finite conditions constitute particular goods: succession belongs to a melody; distinct speakers belong to conversation; a history allows a promise to be kept. Removing these conditions abolishes that particular good rather than perfecting it. By contrast, removing ignorance improves understanding. A third case is a good response to adversity: courage can be good in danger without making danger good. The test asks what the condition contributes, rather than treating every finite limit alike.</w:t>
      </w:r>
    </w:p>
    <w:p>
      <w:pPr>
        <w:pStyle w:val="BodyText"/>
      </w:pPr>
      <w:r>
        <w:t xml:space="preserve">Source independence therefore leaves creaturely achievement meaningful and creaturely harm serious. A friendship can begin without supplying God with a missing perfection; its good belongs truly to the friends. Communion adds knowing and loving to dependence and preserves the persons who enter it. Christian revelation identifies its promised consummation through Christ. Creation is fulfilled in God; it does not supply the final installment of divine completion. That claim neither justifies every injury nor turns all limitations into defects to be erased.</w:t>
      </w:r>
    </w:p>
    <w:bookmarkStart w:id="73" w:name="the-premises-behind-this-answer-2"/>
    <w:p>
      <w:pPr>
        <w:pStyle w:val="Heading3"/>
      </w:pPr>
      <w:r>
        <w:t xml:space="preserve">The premises behind this answer</w:t>
      </w:r>
    </w:p>
    <w:bookmarkEnd w:id="73"/>
    <w:bookmarkStart w:id="77" w:name="goods-constituted-by-finite-organization"/>
    <w:p>
      <w:pPr>
        <w:pStyle w:val="Heading3"/>
      </w:pPr>
      <w:r>
        <w:t xml:space="preserve">Goods constituted by finite organization</w:t>
      </w:r>
    </w:p>
    <w:p>
      <w:pPr>
        <w:pStyle w:val="FirstParagraph"/>
      </w:pPr>
      <w:r>
        <w:t xml:space="preserve">Adds a defended account of particular finite goods to the inherited causal and source principles.</w:t>
      </w:r>
    </w:p>
    <w:bookmarkStart w:id="74" w:name="adopt-these-premises-2"/>
    <w:p>
      <w:pPr>
        <w:pStyle w:val="Heading4"/>
      </w:pPr>
      <w:r>
        <w:t xml:space="preserve">Adopt these premises</w:t>
      </w:r>
    </w:p>
    <w:p>
      <w:pPr>
        <w:pStyle w:val="FirstParagraph"/>
      </w:pPr>
      <w:r>
        <w:rPr>
          <w:b/>
          <w:bCs/>
        </w:rPr>
        <w:t xml:space="preserve">1.</w:t>
      </w:r>
      <w:r>
        <w:t xml:space="preserve"> </w:t>
      </w:r>
      <w:r>
        <w:t xml:space="preserve">Realized goods have intelligible standards appropriate to their kind: proportion in a melody, mutual understanding in conversation, or faithful concern in friendship.</w:t>
      </w:r>
    </w:p>
    <w:p>
      <w:pPr>
        <w:pStyle w:val="BodyText"/>
      </w:pPr>
      <w:r>
        <w:rPr>
          <w:b/>
          <w:bCs/>
        </w:rPr>
        <w:t xml:space="preserve">2.</w:t>
      </w:r>
      <w:r>
        <w:t xml:space="preserve"> </w:t>
      </w:r>
      <w:r>
        <w:t xml:space="preserve">Some such goods require succession, proportion, distinct persons, or a particular history.</w:t>
      </w:r>
    </w:p>
    <w:p>
      <w:pPr>
        <w:pStyle w:val="BodyText"/>
      </w:pPr>
      <w:r>
        <w:rPr>
          <w:b/>
          <w:bCs/>
        </w:rPr>
        <w:t xml:space="preserve">3.</w:t>
      </w:r>
      <w:r>
        <w:t xml:space="preserve"> </w:t>
      </w:r>
      <w:r>
        <w:t xml:space="preserve">God can ground their actuality and positive content without possessing their finite constitutive form or receiving completion from them.</w:t>
      </w:r>
    </w:p>
    <w:bookmarkEnd w:id="74"/>
    <w:bookmarkStart w:id="75" w:name="why-adopt-them-2"/>
    <w:p>
      <w:pPr>
        <w:pStyle w:val="Heading4"/>
      </w:pPr>
      <w:r>
        <w:t xml:space="preserve">Why adopt them?</w:t>
      </w:r>
    </w:p>
    <w:p>
      <w:pPr>
        <w:pStyle w:val="FirstParagraph"/>
      </w:pPr>
      <w:r>
        <w:t xml:space="preserve">A melody loses its particular good if its ordered sequence becomes an undifferentiated instant; conversation loses dialogue if distinct speakers collapse into one. Finite conditions can therefore partly constitute a good instead of merely subtracting quantity from it. Augustine's passing words and Bonaventure's proportion illuminate this role of organization. Those standards can be assessed independently of whether God causes the example. Corresponding goodness need not exist in God as that same melody or conversation: causal adequacy preserves positive content with difference of mode.</w:t>
      </w:r>
    </w:p>
    <w:p>
      <w:pPr>
        <w:pStyle w:val="BodyText"/>
      </w:pPr>
      <w:r>
        <w:t xml:space="preserve">Ask whether removing a condition perfects the same good, abolishes that kind of good, or removes an adversity to which the good was a response. This distinguishes ignorance, musical succession, and danger. The goodness of courage or healing gives no permission to manufacture threats or illness.</w:t>
      </w:r>
    </w:p>
    <w:bookmarkEnd w:id="75"/>
    <w:bookmarkStart w:id="76" w:name="what-follows-if-they-hold-2"/>
    <w:p>
      <w:pPr>
        <w:pStyle w:val="Heading4"/>
      </w:pPr>
      <w:r>
        <w:t xml:space="preserve">What follows if they hold?</w:t>
      </w:r>
    </w:p>
    <w:p>
      <w:pPr>
        <w:pStyle w:val="FirstParagraph"/>
      </w:pPr>
      <w:r>
        <w:t xml:space="preserve">Created histories can contain genuinely new goods for creatures without improving God. Their particularity explains why this friendship or response matters.</w:t>
      </w:r>
    </w:p>
    <w:p>
      <w:pPr>
        <w:pStyle w:val="BodyText"/>
      </w:pPr>
      <w:r>
        <w:rPr>
          <w:b/>
          <w:bCs/>
        </w:rPr>
        <w:t xml:space="preserve">What remains to defend.</w:t>
      </w:r>
      <w:r>
        <w:t xml:space="preserve"> </w:t>
      </w:r>
      <w:r>
        <w:t xml:space="preserve">Particular goods need their own evaluative defense. This does not make every limitation good, justify injury, or establish a complete theodicy.</w:t>
      </w:r>
    </w:p>
    <w:bookmarkEnd w:id="76"/>
    <w:bookmarkEnd w:id="77"/>
    <w:p>
      <w:pPr>
        <w:pStyle w:val="BodyText"/>
      </w:pPr>
      <w:hyperlink r:id="rId78">
        <w:r>
          <w:rPr>
            <w:rStyle w:val="Hyperlink"/>
          </w:rPr>
          <w:t xml:space="preserve">How finite measure can constitute a good</w:t>
        </w:r>
      </w:hyperlink>
      <w:r>
        <w:t xml:space="preserve"> </w:t>
      </w:r>
      <w:r>
        <w:t xml:space="preserve">|</w:t>
      </w:r>
      <w:r>
        <w:t xml:space="preserve"> </w:t>
      </w:r>
      <w:hyperlink r:id="rId79">
        <w:r>
          <w:rPr>
            <w:rStyle w:val="Hyperlink"/>
          </w:rPr>
          <w:t xml:space="preserve">Ratzinger, Augustine, and Bonaventure</w:t>
        </w:r>
      </w:hyperlink>
    </w:p>
    <w:bookmarkEnd w:id="80"/>
    <w:p>
      <w:pPr>
        <w:pStyle w:val="BodyText"/>
      </w:pPr>
      <w:r>
        <w:t xml:space="preserve">For each answer, the expandable explanation states its premises, reasons to adopt them, positive consequences, and remaining commitments. Follow the links for the derivations, rival accounts, and source qualifications.</w:t>
      </w:r>
    </w:p>
    <w:p>
      <w:pPr>
        <w:pStyle w:val="BodyText"/>
      </w:pPr>
      <w:r>
        <w:t xml:space="preserve">11 / EVIDENCE</w:t>
      </w:r>
    </w:p>
    <w:bookmarkStart w:id="81" w:name="Xc3e244406f0de1a7238d2f58faa2e70d50e0518"/>
    <w:p>
      <w:pPr>
        <w:pStyle w:val="Heading2"/>
      </w:pPr>
      <w:r>
        <w:t xml:space="preserve">The source status is part of the argument</w:t>
      </w:r>
    </w:p>
    <w:p>
      <w:pPr>
        <w:pStyle w:val="FirstParagraph"/>
      </w:pPr>
      <w:r>
        <w:t xml:space="preserve">Exact loci, consultation history, and outstanding checks remain visible.</w:t>
      </w:r>
    </w:p>
    <w:bookmarkEnd w:id="81"/>
    <w:p>
      <w:pPr>
        <w:pStyle w:val="BodyText"/>
      </w:pPr>
      <w:r>
        <w:t xml:space="preserve">AUDITABLE SOURCES</w:t>
      </w:r>
    </w:p>
    <w:p>
      <w:pPr>
        <w:pStyle w:val="BodyText"/>
      </w:pPr>
      <w:r>
        <w:t xml:space="preserve">The supplied</w:t>
      </w:r>
      <w:r>
        <w:t xml:space="preserve"> </w:t>
      </w:r>
      <w:r>
        <w:rPr>
          <w:i/>
          <w:iCs/>
        </w:rPr>
        <w:t xml:space="preserve">Definitive Synthetic Edition</w:t>
      </w:r>
      <w:r>
        <w:t xml:space="preserve"> </w:t>
      </w:r>
      <w:r>
        <w:t xml:space="preserve">and</w:t>
      </w:r>
      <w:r>
        <w:t xml:space="preserve"> </w:t>
      </w:r>
      <w:r>
        <w:rPr>
          <w:i/>
          <w:iCs/>
        </w:rPr>
        <w:t xml:space="preserve">Working Philosophical Toolkit</w:t>
      </w:r>
      <w:r>
        <w:t xml:space="preserve"> </w:t>
      </w:r>
      <w:r>
        <w:t xml:space="preserve">guide this revision’s constructive architecture; they do not upgrade the consultation status of the historical sources. Fresh primary translations at CCEL support the Dionysian and Nazianzen passages. Bonaventure and Eriugena reuse the supplied manuscript’s primary register alongside fresh specialist comparison. Maximus’s Greek witness is provisional. Ratzinger’s encyclicals were consulted in unofficial transcripts of official English texts; comparison with the official text remains outstanding. These differences are not hidden behind a single “verified” label.</w:t>
      </w:r>
    </w:p>
    <w:p>
      <w:pPr>
        <w:pStyle w:val="BodyText"/>
      </w:pPr>
      <w:r>
        <w:t xml:space="preserve">fresh</w:t>
      </w:r>
    </w:p>
    <w:bookmarkStart w:id="82" w:name="gregory-nazianzen"/>
    <w:p>
      <w:pPr>
        <w:pStyle w:val="Heading3"/>
      </w:pPr>
      <w:r>
        <w:t xml:space="preserve">Gregory Nazianzen</w:t>
      </w:r>
    </w:p>
    <w:p>
      <w:pPr>
        <w:pStyle w:val="FirstParagraph"/>
      </w:pPr>
      <w:r>
        <w:t xml:space="preserve">Oration 29 (Third Theological Oration) · §16; NPNF second series VII, pp. 306–307</w:t>
      </w:r>
    </w:p>
    <w:p>
      <w:pPr>
        <w:pStyle w:val="BodyText"/>
      </w:pPr>
      <w:r>
        <w:t xml:space="preserve">Primary translation directly consulted this page. Charles Gordon Browne and James Edward Swallow, NPNF second series VII; CCEL transcription; no fresh Greek critical collation</w:t>
      </w:r>
    </w:p>
    <w:p>
      <w:pPr>
        <w:pStyle w:val="BodyText"/>
      </w:pPr>
      <w:r>
        <w:t xml:space="preserve">A category distinction: genuine personal difference need not imply different divine nature or created product</w:t>
      </w:r>
    </w:p>
    <w:p>
      <w:pPr>
        <w:pStyle w:val="BodyText"/>
      </w:pPr>
      <w:r>
        <w:t xml:space="preserve">Eternal personal origin does not establish a relational account of free divine action. The Son is begotten, not created; personal origin must not be equated with created dependence.</w:t>
      </w:r>
    </w:p>
    <w:p>
      <w:pPr>
        <w:pStyle w:val="BodyText"/>
      </w:pPr>
      <w:hyperlink r:id="rId41">
        <w:r>
          <w:rPr>
            <w:rStyle w:val="Hyperlink"/>
          </w:rPr>
          <w:t xml:space="preserve">Open source / orientation link →</w:t>
        </w:r>
      </w:hyperlink>
    </w:p>
    <w:p>
      <w:pPr>
        <w:pStyle w:val="BodyText"/>
      </w:pPr>
      <w:r>
        <w:t xml:space="preserve">fresh</w:t>
      </w:r>
    </w:p>
    <w:bookmarkEnd w:id="82"/>
    <w:bookmarkStart w:id="83" w:name="gregory-nazianzen-1"/>
    <w:p>
      <w:pPr>
        <w:pStyle w:val="Heading3"/>
      </w:pPr>
      <w:r>
        <w:t xml:space="preserve">Gregory Nazianzen</w:t>
      </w:r>
    </w:p>
    <w:p>
      <w:pPr>
        <w:pStyle w:val="FirstParagraph"/>
      </w:pPr>
      <w:r>
        <w:t xml:space="preserve">Oration 29 · §§6–8</w:t>
      </w:r>
    </w:p>
    <w:p>
      <w:pPr>
        <w:pStyle w:val="BodyText"/>
      </w:pPr>
      <w:r>
        <w:t xml:space="preserve">Primary translation directly consulted this page. Browne/Swallow, NPNF second series VII; CCEL</w:t>
      </w:r>
    </w:p>
    <w:p>
      <w:pPr>
        <w:pStyle w:val="BodyText"/>
      </w:pPr>
      <w:r>
        <w:t xml:space="preserve">A warning against treating willing as an object between God and the act, or confusing generation with creation</w:t>
      </w:r>
    </w:p>
    <w:p>
      <w:pPr>
        <w:pStyle w:val="BodyText"/>
      </w:pPr>
      <w:r>
        <w:t xml:space="preserve">The argument against Eunomius concerns generation, rather than a complete modern account of free creation. Editorial notes are not Gregory’s words.</w:t>
      </w:r>
    </w:p>
    <w:p>
      <w:pPr>
        <w:pStyle w:val="BodyText"/>
      </w:pPr>
      <w:hyperlink r:id="rId41">
        <w:r>
          <w:rPr>
            <w:rStyle w:val="Hyperlink"/>
          </w:rPr>
          <w:t xml:space="preserve">Open source / orientation link →</w:t>
        </w:r>
      </w:hyperlink>
    </w:p>
    <w:p>
      <w:pPr>
        <w:pStyle w:val="BodyText"/>
      </w:pPr>
      <w:r>
        <w:t xml:space="preserve">fresh</w:t>
      </w:r>
    </w:p>
    <w:bookmarkEnd w:id="83"/>
    <w:bookmarkStart w:id="85" w:name="pseudo-dionysius"/>
    <w:p>
      <w:pPr>
        <w:pStyle w:val="Heading3"/>
      </w:pPr>
      <w:r>
        <w:t xml:space="preserve">Pseudo-Dionysius</w:t>
      </w:r>
    </w:p>
    <w:p>
      <w:pPr>
        <w:pStyle w:val="FirstParagraph"/>
      </w:pPr>
      <w:r>
        <w:t xml:space="preserve">Divine Names · II.5; Rolt pp. 71–73</w:t>
      </w:r>
    </w:p>
    <w:p>
      <w:pPr>
        <w:pStyle w:val="BodyText"/>
      </w:pPr>
      <w:r>
        <w:t xml:space="preserve">Primary translation directly consulted this page. C. E. Rolt (1920), CCEL; older reliable historical translation, not newly collated against Luibheid/Rorem</w:t>
      </w:r>
    </w:p>
    <w:p>
      <w:pPr>
        <w:pStyle w:val="BodyText"/>
      </w:pPr>
      <w:r>
        <w:t xml:space="preserve">Recipient variation does not entail corresponding partition or alteration of source</w:t>
      </w:r>
    </w:p>
    <w:p>
      <w:pPr>
        <w:pStyle w:val="BodyText"/>
      </w:pPr>
      <w:r>
        <w:t xml:space="preserve">A seal has intrinsic pattern; receptor analogy is not a simplicity proof or explanation of free choice; God exceeds the analogy</w:t>
      </w:r>
    </w:p>
    <w:p>
      <w:pPr>
        <w:pStyle w:val="BodyText"/>
      </w:pPr>
      <w:hyperlink r:id="rId84">
        <w:r>
          <w:rPr>
            <w:rStyle w:val="Hyperlink"/>
          </w:rPr>
          <w:t xml:space="preserve">Open source / orientation link →</w:t>
        </w:r>
      </w:hyperlink>
    </w:p>
    <w:p>
      <w:pPr>
        <w:pStyle w:val="BodyText"/>
      </w:pPr>
      <w:r>
        <w:t xml:space="preserve">fresh</w:t>
      </w:r>
    </w:p>
    <w:bookmarkEnd w:id="85"/>
    <w:bookmarkStart w:id="87" w:name="pseudo-dionysius-1"/>
    <w:p>
      <w:pPr>
        <w:pStyle w:val="Heading3"/>
      </w:pPr>
      <w:r>
        <w:t xml:space="preserve">Pseudo-Dionysius</w:t>
      </w:r>
    </w:p>
    <w:p>
      <w:pPr>
        <w:pStyle w:val="FirstParagraph"/>
      </w:pPr>
      <w:r>
        <w:t xml:space="preserve">Divine Names · V.8; Rolt pp. 139–141</w:t>
      </w:r>
    </w:p>
    <w:p>
      <w:pPr>
        <w:pStyle w:val="BodyText"/>
      </w:pPr>
      <w:r>
        <w:t xml:space="preserve">Primary translation directly consulted this page. C. E. Rolt (1920), CCEL; editorial commentary separated</w:t>
      </w:r>
    </w:p>
    <w:p>
      <w:pPr>
        <w:pStyle w:val="BodyText"/>
      </w:pPr>
      <w:r>
        <w:t xml:space="preserve">Positive intelligible differentiation in relation to one source</w:t>
      </w:r>
    </w:p>
    <w:p>
      <w:pPr>
        <w:pStyle w:val="BodyText"/>
      </w:pPr>
      <w:r>
        <w:t xml:space="preserve">Plural exemplars or divine wills do not by themselves prove alternative created outcomes, or establish that divine intentions differ only relationally</w:t>
      </w:r>
    </w:p>
    <w:p>
      <w:pPr>
        <w:pStyle w:val="BodyText"/>
      </w:pPr>
      <w:hyperlink r:id="rId86">
        <w:r>
          <w:rPr>
            <w:rStyle w:val="Hyperlink"/>
          </w:rPr>
          <w:t xml:space="preserve">Open source / orientation link →</w:t>
        </w:r>
      </w:hyperlink>
    </w:p>
    <w:p>
      <w:pPr>
        <w:pStyle w:val="BodyText"/>
      </w:pPr>
      <w:r>
        <w:t xml:space="preserve">fresh</w:t>
      </w:r>
    </w:p>
    <w:bookmarkEnd w:id="87"/>
    <w:bookmarkStart w:id="88" w:name="pseudo-dionysius-2"/>
    <w:p>
      <w:pPr>
        <w:pStyle w:val="Heading3"/>
      </w:pPr>
      <w:r>
        <w:t xml:space="preserve">Pseudo-Dionysius</w:t>
      </w:r>
    </w:p>
    <w:p>
      <w:pPr>
        <w:pStyle w:val="FirstParagraph"/>
      </w:pPr>
      <w:r>
        <w:t xml:space="preserve">Divine Names · VII.2–3; Rolt pp. 149–153</w:t>
      </w:r>
    </w:p>
    <w:p>
      <w:pPr>
        <w:pStyle w:val="BodyText"/>
      </w:pPr>
      <w:r>
        <w:t xml:space="preserve">Primary translation directly consulted this page. C. E. Rolt (1920), CCEL; editorial commentary separated</w:t>
      </w:r>
    </w:p>
    <w:p>
      <w:pPr>
        <w:pStyle w:val="BodyText"/>
      </w:pPr>
      <w:r>
        <w:t xml:space="preserve">Different effects, God’s knowledge, and a recipient’s acquired knowledge require distinct accounts</w:t>
      </w:r>
    </w:p>
    <w:p>
      <w:pPr>
        <w:pStyle w:val="BodyText"/>
      </w:pPr>
      <w:r>
        <w:t xml:space="preserve">Does not independently explain choice between possible creations, or knowledge of permitted creaturely decisions. Rolt’s editorial comments about being beyond personality are not adopted.</w:t>
      </w:r>
    </w:p>
    <w:p>
      <w:pPr>
        <w:pStyle w:val="BodyText"/>
      </w:pPr>
      <w:hyperlink r:id="rId33">
        <w:r>
          <w:rPr>
            <w:rStyle w:val="Hyperlink"/>
          </w:rPr>
          <w:t xml:space="preserve">Open source / orientation link →</w:t>
        </w:r>
      </w:hyperlink>
    </w:p>
    <w:p>
      <w:pPr>
        <w:pStyle w:val="BodyText"/>
      </w:pPr>
      <w:r>
        <w:t xml:space="preserve">fresh</w:t>
      </w:r>
    </w:p>
    <w:bookmarkEnd w:id="88"/>
    <w:bookmarkStart w:id="90" w:name="pseudo-dionysius-3"/>
    <w:p>
      <w:pPr>
        <w:pStyle w:val="Heading3"/>
      </w:pPr>
      <w:r>
        <w:t xml:space="preserve">Pseudo-Dionysius</w:t>
      </w:r>
    </w:p>
    <w:p>
      <w:pPr>
        <w:pStyle w:val="FirstParagraph"/>
      </w:pPr>
      <w:r>
        <w:t xml:space="preserve">Divine Names · IX.6–7; Rolt pp. 166–167</w:t>
      </w:r>
    </w:p>
    <w:p>
      <w:pPr>
        <w:pStyle w:val="BodyText"/>
      </w:pPr>
      <w:r>
        <w:t xml:space="preserve">Primary translation directly consulted this page. C. E. Rolt (1920), CCEL</w:t>
      </w:r>
    </w:p>
    <w:p>
      <w:pPr>
        <w:pStyle w:val="BodyText"/>
      </w:pPr>
      <w:r>
        <w:t xml:space="preserve">Meaningful likeness does not require a shared nature</w:t>
      </w:r>
    </w:p>
    <w:p>
      <w:pPr>
        <w:pStyle w:val="BodyText"/>
      </w:pPr>
      <w:r>
        <w:t xml:space="preserve">Does not prove that every effect resembles its cause in every respect</w:t>
      </w:r>
    </w:p>
    <w:p>
      <w:pPr>
        <w:pStyle w:val="BodyText"/>
      </w:pPr>
      <w:hyperlink r:id="rId89">
        <w:r>
          <w:rPr>
            <w:rStyle w:val="Hyperlink"/>
          </w:rPr>
          <w:t xml:space="preserve">Open source / orientation link →</w:t>
        </w:r>
      </w:hyperlink>
    </w:p>
    <w:p>
      <w:pPr>
        <w:pStyle w:val="BodyText"/>
      </w:pPr>
      <w:r>
        <w:t xml:space="preserve">fresh</w:t>
      </w:r>
    </w:p>
    <w:bookmarkEnd w:id="90"/>
    <w:bookmarkStart w:id="91" w:name="gregory-of-nyssa"/>
    <w:p>
      <w:pPr>
        <w:pStyle w:val="Heading3"/>
      </w:pPr>
      <w:r>
        <w:t xml:space="preserve">Gregory of Nyssa</w:t>
      </w:r>
    </w:p>
    <w:p>
      <w:pPr>
        <w:pStyle w:val="FirstParagraph"/>
      </w:pPr>
      <w:r>
        <w:t xml:space="preserve">On the Making of Man · XVI</w:t>
      </w:r>
    </w:p>
    <w:p>
      <w:pPr>
        <w:pStyle w:val="BodyText"/>
      </w:pPr>
      <w:r>
        <w:t xml:space="preserve">Primary translation reconsulted from original project. William Moore and Henry Austin Wilson, NPNF second series V; Standard Ebooks transcription with scan-check provenance</w:t>
      </w:r>
    </w:p>
    <w:p>
      <w:pPr>
        <w:pStyle w:val="BodyText"/>
      </w:pPr>
      <w:r>
        <w:t xml:space="preserve">Created limitations need not limit the source; receiving rational agency is compatible with voluntary action</w:t>
      </w:r>
    </w:p>
    <w:p>
      <w:pPr>
        <w:pStyle w:val="BodyText"/>
      </w:pPr>
      <w:r>
        <w:t xml:space="preserve">Speculative anthropology is not a universally established metaphysical principle. The Life of Moses passages on infinity were not newly read.</w:t>
      </w:r>
    </w:p>
    <w:p>
      <w:pPr>
        <w:pStyle w:val="BodyText"/>
      </w:pPr>
      <w:hyperlink r:id="rId39">
        <w:r>
          <w:rPr>
            <w:rStyle w:val="Hyperlink"/>
          </w:rPr>
          <w:t xml:space="preserve">Open source / orientation link →</w:t>
        </w:r>
      </w:hyperlink>
    </w:p>
    <w:p>
      <w:pPr>
        <w:pStyle w:val="BodyText"/>
      </w:pPr>
      <w:r>
        <w:t xml:space="preserve">provisional</w:t>
      </w:r>
    </w:p>
    <w:bookmarkEnd w:id="91"/>
    <w:bookmarkStart w:id="92" w:name="maximus-the-confessor"/>
    <w:p>
      <w:pPr>
        <w:pStyle w:val="Heading3"/>
      </w:pPr>
      <w:r>
        <w:t xml:space="preserve">Maximus the Confessor</w:t>
      </w:r>
    </w:p>
    <w:p>
      <w:pPr>
        <w:pStyle w:val="FirstParagraph"/>
      </w:pPr>
      <w:r>
        <w:t xml:space="preserve">Ambiguum 7 · PG 91, 1077–1081, transcription ΠΡ 2.11–2.16; knowledge passage ΠΡ 2.20 within columns 1085–1088</w:t>
      </w:r>
    </w:p>
    <w:p>
      <w:pPr>
        <w:pStyle w:val="BodyText"/>
      </w:pPr>
      <w:r>
        <w:t xml:space="preserve">Provisional Greek primary witness reconsulted; modern reliable edition collation outstanding. Undocumented Greek transcription; consult Nicholas Constas, Ambigua (2014) for critical control</w:t>
      </w:r>
    </w:p>
    <w:p>
      <w:pPr>
        <w:pStyle w:val="BodyText"/>
      </w:pPr>
      <w:r>
        <w:t xml:space="preserve">Intelligibility and realized history are distinct; temporal realization need not imply acquired divine knowledge</w:t>
      </w:r>
    </w:p>
    <w:p>
      <w:pPr>
        <w:pStyle w:val="BodyText"/>
      </w:pPr>
      <w:r>
        <w:t xml:space="preserve">No English quotation is attributed to Constas. The text does not establish that divine intentions differ only relationally, prove alternative creations, or eliminate historical disagreements.</w:t>
      </w:r>
    </w:p>
    <w:p>
      <w:pPr>
        <w:pStyle w:val="BodyText"/>
      </w:pPr>
      <w:hyperlink r:id="rId37">
        <w:r>
          <w:rPr>
            <w:rStyle w:val="Hyperlink"/>
          </w:rPr>
          <w:t xml:space="preserve">Open source / orientation link →</w:t>
        </w:r>
      </w:hyperlink>
    </w:p>
    <w:p>
      <w:pPr>
        <w:pStyle w:val="BodyText"/>
      </w:pPr>
      <w:r>
        <w:t xml:space="preserve">inherited</w:t>
      </w:r>
    </w:p>
    <w:bookmarkEnd w:id="92"/>
    <w:bookmarkStart w:id="93" w:name="bonaventure"/>
    <w:p>
      <w:pPr>
        <w:pStyle w:val="Heading3"/>
      </w:pPr>
      <w:r>
        <w:t xml:space="preserve">Bonaventure</w:t>
      </w:r>
    </w:p>
    <w:p>
      <w:pPr>
        <w:pStyle w:val="FirstParagraph"/>
      </w:pPr>
      <w:r>
        <w:t xml:space="preserve">Commentary on the First Book of Sentences · I Sent., d. 8, p. II, a. un., q. 1, arguments 1–2 (inherited register B12)</w:t>
      </w:r>
    </w:p>
    <w:p>
      <w:pPr>
        <w:pStyle w:val="BodyText"/>
      </w:pPr>
      <w:r>
        <w:t xml:space="preserve">Inherited primary audit; not freshly critical-collated. URL is specialist orientation, not the Latin witness.. Opera omnia, vol. I, Quaracchi, 1882; Latin transcription audit inherited from Being-First. English quotation is manuscript working translation.</w:t>
      </w:r>
    </w:p>
    <w:p>
      <w:pPr>
        <w:pStyle w:val="BodyText"/>
      </w:pPr>
      <w:r>
        <w:t xml:space="preserve">Arguments from firstness and essential perfection help test dependence on constituents; different attributes need not be parts of perfection.</w:t>
      </w:r>
    </w:p>
    <w:p>
      <w:pPr>
        <w:pStyle w:val="BodyText"/>
      </w:pPr>
      <w:r>
        <w:t xml:space="preserve">Does not identify God with every known object or relation to a creature. The modern argument from dependence on constituents is a reconstruction.</w:t>
      </w:r>
    </w:p>
    <w:p>
      <w:pPr>
        <w:pStyle w:val="BodyText"/>
      </w:pPr>
      <w:hyperlink r:id="rId31">
        <w:r>
          <w:rPr>
            <w:rStyle w:val="Hyperlink"/>
          </w:rPr>
          <w:t xml:space="preserve">Open source / orientation link →</w:t>
        </w:r>
      </w:hyperlink>
    </w:p>
    <w:p>
      <w:pPr>
        <w:pStyle w:val="BodyText"/>
      </w:pPr>
      <w:r>
        <w:t xml:space="preserve">inherited</w:t>
      </w:r>
    </w:p>
    <w:bookmarkEnd w:id="93"/>
    <w:bookmarkStart w:id="94" w:name="bonaventure-1"/>
    <w:p>
      <w:pPr>
        <w:pStyle w:val="Heading3"/>
      </w:pPr>
      <w:r>
        <w:t xml:space="preserve">Bonaventure</w:t>
      </w:r>
    </w:p>
    <w:p>
      <w:pPr>
        <w:pStyle w:val="FirstParagraph"/>
      </w:pPr>
      <w:r>
        <w:t xml:space="preserve">Commentary on the First Book of Sentences · I Sent., d. 8, p. II, a. un., q. 1, ad 1 (inherited register B13)</w:t>
      </w:r>
    </w:p>
    <w:p>
      <w:pPr>
        <w:pStyle w:val="BodyText"/>
      </w:pPr>
      <w:r>
        <w:t xml:space="preserve">Inherited primary audit; URL is specialist orientation.. Opera omnia, vol. I, Quaracchi, 1882; working English translation in supplied manuscript.</w:t>
      </w:r>
    </w:p>
    <w:p>
      <w:pPr>
        <w:pStyle w:val="BodyText"/>
      </w:pPr>
      <w:r>
        <w:t xml:space="preserve">Positive fullness rather than deficient featurelessness; the immediate communication argument is Trinitarian.</w:t>
      </w:r>
    </w:p>
    <w:p>
      <w:pPr>
        <w:pStyle w:val="BodyText"/>
      </w:pPr>
      <w:r>
        <w:t xml:space="preserve">Does not entail that this world or any created world necessarily exists. Nonreception alone does not establish fullness.</w:t>
      </w:r>
    </w:p>
    <w:p>
      <w:pPr>
        <w:pStyle w:val="BodyText"/>
      </w:pPr>
      <w:hyperlink r:id="rId31">
        <w:r>
          <w:rPr>
            <w:rStyle w:val="Hyperlink"/>
          </w:rPr>
          <w:t xml:space="preserve">Open source / orientation link →</w:t>
        </w:r>
      </w:hyperlink>
    </w:p>
    <w:p>
      <w:pPr>
        <w:pStyle w:val="BodyText"/>
      </w:pPr>
      <w:r>
        <w:t xml:space="preserve">inherited</w:t>
      </w:r>
    </w:p>
    <w:bookmarkEnd w:id="94"/>
    <w:bookmarkStart w:id="95" w:name="bonaventure-2"/>
    <w:p>
      <w:pPr>
        <w:pStyle w:val="Heading3"/>
      </w:pPr>
      <w:r>
        <w:t xml:space="preserve">Bonaventure</w:t>
      </w:r>
    </w:p>
    <w:p>
      <w:pPr>
        <w:pStyle w:val="FirstParagraph"/>
      </w:pPr>
      <w:r>
        <w:t xml:space="preserve">Commentary on the First Book of Sentences · I Sent., d. 8, p. II, a. un., q. 1, ad 2 (inherited register B13)</w:t>
      </w:r>
    </w:p>
    <w:p>
      <w:pPr>
        <w:pStyle w:val="BodyText"/>
      </w:pPr>
      <w:r>
        <w:t xml:space="preserve">Inherited primary audit; paraphrase of manuscript source discussion, no new critical collation.. Opera omnia, vol. I, Quaracchi, 1882; prior manuscript Latin-transcription audit.</w:t>
      </w:r>
    </w:p>
    <w:p>
      <w:pPr>
        <w:pStyle w:val="BodyText"/>
      </w:pPr>
      <w:r>
        <w:t xml:space="preserve">Theologically affirmed personal origins need not be added parts that constitute divine perfection.</w:t>
      </w:r>
    </w:p>
    <w:p>
      <w:pPr>
        <w:pStyle w:val="BodyText"/>
      </w:pPr>
      <w:r>
        <w:t xml:space="preserve">Trinitarian personal origin, created dependence, and free creative action need distinct accounts. This argument neither proves the Trinity nor explains every condition of free divine action.</w:t>
      </w:r>
    </w:p>
    <w:p>
      <w:pPr>
        <w:pStyle w:val="BodyText"/>
      </w:pPr>
      <w:hyperlink r:id="rId31">
        <w:r>
          <w:rPr>
            <w:rStyle w:val="Hyperlink"/>
          </w:rPr>
          <w:t xml:space="preserve">Open source / orientation link →</w:t>
        </w:r>
      </w:hyperlink>
    </w:p>
    <w:p>
      <w:pPr>
        <w:pStyle w:val="BodyText"/>
      </w:pPr>
      <w:r>
        <w:t xml:space="preserve">inherited</w:t>
      </w:r>
    </w:p>
    <w:bookmarkEnd w:id="95"/>
    <w:bookmarkStart w:id="96" w:name="bonaventure-3"/>
    <w:p>
      <w:pPr>
        <w:pStyle w:val="Heading3"/>
      </w:pPr>
      <w:r>
        <w:t xml:space="preserve">Bonaventure</w:t>
      </w:r>
    </w:p>
    <w:p>
      <w:pPr>
        <w:pStyle w:val="FirstParagraph"/>
      </w:pPr>
      <w:r>
        <w:t xml:space="preserve">Itinerarium mentis in Deum · II.10 (inherited register N6)</w:t>
      </w:r>
    </w:p>
    <w:p>
      <w:pPr>
        <w:pStyle w:val="BodyText"/>
      </w:pPr>
      <w:r>
        <w:t xml:space="preserve">Inherited primary quotation; Latin Library access failed on this pass, no new critical collation.. Opera omnia, vol. V, Quaracchi, 1891; manuscript working English translation of Latin Library transcription.</w:t>
      </w:r>
    </w:p>
    <w:p>
      <w:pPr>
        <w:pStyle w:val="BodyText"/>
      </w:pPr>
      <w:r>
        <w:t xml:space="preserve">A historical resource for finite measure as a positive condition of an achieved good.</w:t>
      </w:r>
    </w:p>
    <w:p>
      <w:pPr>
        <w:pStyle w:val="BodyText"/>
      </w:pPr>
      <w:r>
        <w:t xml:space="preserve">Melody, learning, and finite-history tests are constructive extensions; does not show every finite limitation or loss is good.</w:t>
      </w:r>
    </w:p>
    <w:p>
      <w:pPr>
        <w:pStyle w:val="BodyText"/>
      </w:pPr>
      <w:hyperlink r:id="rId31">
        <w:r>
          <w:rPr>
            <w:rStyle w:val="Hyperlink"/>
          </w:rPr>
          <w:t xml:space="preserve">Open source / orientation link →</w:t>
        </w:r>
      </w:hyperlink>
    </w:p>
    <w:p>
      <w:pPr>
        <w:pStyle w:val="BodyText"/>
      </w:pPr>
      <w:r>
        <w:t xml:space="preserve">secondary</w:t>
      </w:r>
    </w:p>
    <w:bookmarkEnd w:id="96"/>
    <w:bookmarkStart w:id="97" w:name="tim-noone-and-r.-e.-houser"/>
    <w:p>
      <w:pPr>
        <w:pStyle w:val="Heading3"/>
      </w:pPr>
      <w:r>
        <w:t xml:space="preserve">Tim Noone and R. E. Houser</w:t>
      </w:r>
    </w:p>
    <w:p>
      <w:pPr>
        <w:pStyle w:val="FirstParagraph"/>
      </w:pPr>
      <w:r>
        <w:t xml:space="preserve">Bonaventure, Stanford Encyclopedia of Philosophy · §5 opening; §5.2 participation/aitiological argument; selected truth discussion</w:t>
      </w:r>
    </w:p>
    <w:p>
      <w:pPr>
        <w:pStyle w:val="BodyText"/>
      </w:pPr>
      <w:r>
        <w:t xml:space="preserve">Fresh publisher consultation of selected passages, 12 October 2026.. Substantive revision 16 August 2023; current publisher text.</w:t>
      </w:r>
    </w:p>
    <w:p>
      <w:pPr>
        <w:pStyle w:val="BodyText"/>
      </w:pPr>
      <w:r>
        <w:t xml:space="preserve">Supplies Hexaëmeron 6.1 (Quaracchi V:360) and 1.13 (V:331), and a specialist account of participation and transcendental versus categorical attributes.</w:t>
      </w:r>
    </w:p>
    <w:p>
      <w:pPr>
        <w:pStyle w:val="BodyText"/>
      </w:pPr>
      <w:r>
        <w:t xml:space="preserve">Those Hexaëmeron primary loci were secondary-located, not freshly collated; the article interpretation does not establish the proposed account of divine agency.</w:t>
      </w:r>
    </w:p>
    <w:p>
      <w:pPr>
        <w:pStyle w:val="BodyText"/>
      </w:pPr>
      <w:hyperlink r:id="rId31">
        <w:r>
          <w:rPr>
            <w:rStyle w:val="Hyperlink"/>
          </w:rPr>
          <w:t xml:space="preserve">Open source / orientation link →</w:t>
        </w:r>
      </w:hyperlink>
    </w:p>
    <w:p>
      <w:pPr>
        <w:pStyle w:val="BodyText"/>
      </w:pPr>
      <w:r>
        <w:t xml:space="preserve">inherited</w:t>
      </w:r>
    </w:p>
    <w:bookmarkEnd w:id="97"/>
    <w:bookmarkStart w:id="98" w:name="john-scottus-eriugena"/>
    <w:p>
      <w:pPr>
        <w:pStyle w:val="Heading3"/>
      </w:pPr>
      <w:r>
        <w:t xml:space="preserve">John Scottus Eriugena</w:t>
      </w:r>
    </w:p>
    <w:p>
      <w:pPr>
        <w:pStyle w:val="FirstParagraph"/>
      </w:pPr>
      <w:r>
        <w:t xml:space="preserve">Periphyseon (The Division of Nature) · I.446D; printed p. 31; inherited manuscript register E11 (inherited register E11)</w:t>
      </w:r>
    </w:p>
    <w:p>
      <w:pPr>
        <w:pStyle w:val="BodyText"/>
      </w:pPr>
      <w:r>
        <w:t xml:space="preserve">Inherited supplied primary translation; no new critical Latin collation. URL is specialist orientation.. Translated by I. P. Sheldon-Williams, revised by John J. O’Meara, Bellarmin/Dumbarton Oaks, 1987.</w:t>
      </w:r>
    </w:p>
    <w:p>
      <w:pPr>
        <w:pStyle w:val="BodyText"/>
      </w:pPr>
      <w:r>
        <w:t xml:space="preserve">A distinction between the source and how it appears, relevant to the recipient’s conditions.</w:t>
      </w:r>
    </w:p>
    <w:p>
      <w:pPr>
        <w:pStyle w:val="BodyText"/>
      </w:pPr>
      <w:r>
        <w:t xml:space="preserve">Does not cancel the stronger God–creature unity passages or by itself explain divine self-knowledge.</w:t>
      </w:r>
    </w:p>
    <w:p>
      <w:pPr>
        <w:pStyle w:val="BodyText"/>
      </w:pPr>
      <w:hyperlink r:id="rId35">
        <w:r>
          <w:rPr>
            <w:rStyle w:val="Hyperlink"/>
          </w:rPr>
          <w:t xml:space="preserve">Open source / orientation link →</w:t>
        </w:r>
      </w:hyperlink>
    </w:p>
    <w:p>
      <w:pPr>
        <w:pStyle w:val="BodyText"/>
      </w:pPr>
      <w:r>
        <w:t xml:space="preserve">inherited</w:t>
      </w:r>
    </w:p>
    <w:bookmarkEnd w:id="98"/>
    <w:bookmarkStart w:id="99" w:name="john-scottus-eriugena-1"/>
    <w:p>
      <w:pPr>
        <w:pStyle w:val="Heading3"/>
      </w:pPr>
      <w:r>
        <w:t xml:space="preserve">John Scottus Eriugena</w:t>
      </w:r>
    </w:p>
    <w:p>
      <w:pPr>
        <w:pStyle w:val="FirstParagraph"/>
      </w:pPr>
      <w:r>
        <w:t xml:space="preserve">Periphyseon (The Division of Nature) · I.454B–C; printed p. 40; inherited manuscript register E4 (inherited register E4)</w:t>
      </w:r>
    </w:p>
    <w:p>
      <w:pPr>
        <w:pStyle w:val="BodyText"/>
      </w:pPr>
      <w:r>
        <w:t xml:space="preserve">Inherited supplied primary quotation, not freshly critical-collated.. Sheldon-Williams/O’Meara translation, 1987.</w:t>
      </w:r>
    </w:p>
    <w:p>
      <w:pPr>
        <w:pStyle w:val="BodyText"/>
      </w:pPr>
      <w:r>
        <w:t xml:space="preserve">Determinate expression is metaphysically important, not merely an observer’s optional inference.</w:t>
      </w:r>
    </w:p>
    <w:p>
      <w:pPr>
        <w:pStyle w:val="BodyText"/>
      </w:pPr>
      <w:r>
        <w:t xml:space="preserve">The analogy explicitly differs from divine nature; cannot import human learning or self-completion into God. Interpreting this through created reception is a constructive proposal.</w:t>
      </w:r>
    </w:p>
    <w:p>
      <w:pPr>
        <w:pStyle w:val="BodyText"/>
      </w:pPr>
      <w:hyperlink r:id="rId35">
        <w:r>
          <w:rPr>
            <w:rStyle w:val="Hyperlink"/>
          </w:rPr>
          <w:t xml:space="preserve">Open source / orientation link →</w:t>
        </w:r>
      </w:hyperlink>
    </w:p>
    <w:p>
      <w:pPr>
        <w:pStyle w:val="BodyText"/>
      </w:pPr>
      <w:r>
        <w:t xml:space="preserve">inherited</w:t>
      </w:r>
    </w:p>
    <w:bookmarkEnd w:id="99"/>
    <w:bookmarkStart w:id="100" w:name="john-scottus-eriugena-2"/>
    <w:p>
      <w:pPr>
        <w:pStyle w:val="Heading3"/>
      </w:pPr>
      <w:r>
        <w:t xml:space="preserve">John Scottus Eriugena</w:t>
      </w:r>
    </w:p>
    <w:p>
      <w:pPr>
        <w:pStyle w:val="FirstParagraph"/>
      </w:pPr>
      <w:r>
        <w:t xml:space="preserve">Periphyseon (The Division of Nature) · III.678C–D, p. 305; II.589B, pp. 195–196; III.689B, pp. 317–318 (inherited E5–E8)</w:t>
      </w:r>
    </w:p>
    <w:p>
      <w:pPr>
        <w:pStyle w:val="BodyText"/>
      </w:pPr>
      <w:r>
        <w:t xml:space="preserve">Inherited supplied primary quotations; no fresh complete critical-edition collation.. Sheldon-Williams/O’Meara translation, 1987.</w:t>
      </w:r>
    </w:p>
    <w:p>
      <w:pPr>
        <w:pStyle w:val="BodyText"/>
      </w:pPr>
      <w:r>
        <w:t xml:space="preserve">The adopted account must explicitly refuse numerical God–creature identity and completion of God by creation if either is required by the historical text.</w:t>
      </w:r>
    </w:p>
    <w:p>
      <w:pPr>
        <w:pStyle w:val="BodyText"/>
      </w:pPr>
      <w:r>
        <w:t xml:space="preserve">Do not harmonize away the strong wording. Preserve “as it were” and “in something” in III.689B. III.678D says the immediate unity passage is not about the Incarnation.</w:t>
      </w:r>
    </w:p>
    <w:p>
      <w:pPr>
        <w:pStyle w:val="BodyText"/>
      </w:pPr>
      <w:hyperlink r:id="rId35">
        <w:r>
          <w:rPr>
            <w:rStyle w:val="Hyperlink"/>
          </w:rPr>
          <w:t xml:space="preserve">Open source / orientation link →</w:t>
        </w:r>
      </w:hyperlink>
    </w:p>
    <w:p>
      <w:pPr>
        <w:pStyle w:val="BodyText"/>
      </w:pPr>
      <w:r>
        <w:t xml:space="preserve">secondary</w:t>
      </w:r>
    </w:p>
    <w:bookmarkEnd w:id="100"/>
    <w:bookmarkStart w:id="101" w:name="dermot-moran"/>
    <w:p>
      <w:pPr>
        <w:pStyle w:val="Heading3"/>
      </w:pPr>
      <w:r>
        <w:t xml:space="preserve">Dermot Moran</w:t>
      </w:r>
    </w:p>
    <w:p>
      <w:pPr>
        <w:pStyle w:val="FirstParagraph"/>
      </w:pPr>
      <w:r>
        <w:t xml:space="preserve">John Scottus Eriugena, Stanford Encyclopedia of Philosophy · §§3.3–3.4; selected §3.9 passages on human nature and unity</w:t>
      </w:r>
    </w:p>
    <w:p>
      <w:pPr>
        <w:pStyle w:val="BodyText"/>
      </w:pPr>
      <w:r>
        <w:t xml:space="preserve">Fresh publisher consultation of selected passages, 12 October 2026.. Substantive revision 30 October 2019; current publisher text.</w:t>
      </w:r>
    </w:p>
    <w:p>
      <w:pPr>
        <w:pStyle w:val="BodyText"/>
      </w:pPr>
      <w:r>
        <w:t xml:space="preserve">Confirms the need for critical retrieval rather than an effortless historical synthesis; provides I.455B and IV.796B as primary leads.</w:t>
      </w:r>
    </w:p>
    <w:p>
      <w:pPr>
        <w:pStyle w:val="BodyText"/>
      </w:pPr>
      <w:r>
        <w:t xml:space="preserve">I.455B and IV.796B are secondary-located in this pass, not directly collated primary quotations. The article offers an interpretation that must be distinguished from the project’s constructive choice.</w:t>
      </w:r>
    </w:p>
    <w:p>
      <w:pPr>
        <w:pStyle w:val="BodyText"/>
      </w:pPr>
      <w:hyperlink r:id="rId35">
        <w:r>
          <w:rPr>
            <w:rStyle w:val="Hyperlink"/>
          </w:rPr>
          <w:t xml:space="preserve">Open source / orientation link →</w:t>
        </w:r>
      </w:hyperlink>
    </w:p>
    <w:p>
      <w:pPr>
        <w:pStyle w:val="BodyText"/>
      </w:pPr>
      <w:r>
        <w:t xml:space="preserve">provisional</w:t>
      </w:r>
    </w:p>
    <w:bookmarkEnd w:id="101"/>
    <w:bookmarkStart w:id="103" w:name="benedict-xvi-joseph-ratzinger"/>
    <w:p>
      <w:pPr>
        <w:pStyle w:val="Heading3"/>
      </w:pPr>
      <w:r>
        <w:t xml:space="preserve">Benedict XVI (Joseph Ratzinger)</w:t>
      </w:r>
    </w:p>
    <w:p>
      <w:pPr>
        <w:pStyle w:val="FirstParagraph"/>
      </w:pPr>
      <w:r>
        <w:t xml:space="preserve">Caritas in veritate · §§2–5, 52–55; especially §§53–54</w:t>
      </w:r>
    </w:p>
    <w:p>
      <w:pPr>
        <w:pStyle w:val="BodyText"/>
      </w:pPr>
      <w:r>
        <w:t xml:space="preserve">consulted-primary-transcript. Official English text represented by an unofficial Vatican-scraping transcript; 29 June 2009. Official endpoint inaccessible and not line-collated.</w:t>
      </w:r>
    </w:p>
    <w:p>
      <w:pPr>
        <w:pStyle w:val="BodyText"/>
      </w:pPr>
      <w:r>
        <w:t xml:space="preserve">Theological and social affirmation of communion that preserves persons; a reason to examine real relations without counting every personal difference as a constituent part.</w:t>
      </w:r>
    </w:p>
    <w:p>
      <w:pPr>
        <w:pStyle w:val="BodyText"/>
      </w:pPr>
      <w:r>
        <w:t xml:space="preserve">Does not prove how divine action can be free while God remains intrinsically unchanged. Human growth through relationships does not establish divine change. Trinitarian personal origins are not alternative acts of creation.</w:t>
      </w:r>
    </w:p>
    <w:p>
      <w:pPr>
        <w:pStyle w:val="BodyText"/>
      </w:pPr>
      <w:hyperlink r:id="rId43">
        <w:r>
          <w:rPr>
            <w:rStyle w:val="Hyperlink"/>
          </w:rPr>
          <w:t xml:space="preserve">Open source / orientation link →</w:t>
        </w:r>
      </w:hyperlink>
      <w:r>
        <w:t xml:space="preserve"> </w:t>
      </w:r>
      <w:hyperlink r:id="rId102">
        <w:r>
          <w:rPr>
            <w:rStyle w:val="Hyperlink"/>
          </w:rPr>
          <w:t xml:space="preserve">Consulted transcript →</w:t>
        </w:r>
      </w:hyperlink>
    </w:p>
    <w:p>
      <w:pPr>
        <w:pStyle w:val="BodyText"/>
      </w:pPr>
      <w:r>
        <w:t xml:space="preserve">provisional</w:t>
      </w:r>
    </w:p>
    <w:bookmarkEnd w:id="103"/>
    <w:bookmarkStart w:id="106" w:name="benedict-xvi-joseph-ratzinger-1"/>
    <w:p>
      <w:pPr>
        <w:pStyle w:val="Heading3"/>
      </w:pPr>
      <w:r>
        <w:t xml:space="preserve">Benedict XVI (Joseph Ratzinger)</w:t>
      </w:r>
    </w:p>
    <w:p>
      <w:pPr>
        <w:pStyle w:val="FirstParagraph"/>
      </w:pPr>
      <w:r>
        <w:t xml:space="preserve">Deus caritas est · §§9–10; especially §10</w:t>
      </w:r>
    </w:p>
    <w:p>
      <w:pPr>
        <w:pStyle w:val="BodyText"/>
      </w:pPr>
      <w:r>
        <w:t xml:space="preserve">consulted-primary-transcript. Official English text represented by an unofficial Vatican-scraping transcript; 25 December 2005. Official endpoint inaccessible and not line-collated.</w:t>
      </w:r>
    </w:p>
    <w:p>
      <w:pPr>
        <w:pStyle w:val="BodyText"/>
      </w:pPr>
      <w:r>
        <w:t xml:space="preserve">Christian theological conjunction of intelligibility, willed creation, elective love, and union without fusion.</w:t>
      </w:r>
    </w:p>
    <w:p>
      <w:pPr>
        <w:pStyle w:val="BodyText"/>
      </w:pPr>
      <w:r>
        <w:t xml:space="preserve">Does not establish contingency or explain what makes a particular divine action actual. Biblical language does not prove intrinsic divine change; the contrast with Aristotle is not a complete historical assessment.</w:t>
      </w:r>
    </w:p>
    <w:p>
      <w:pPr>
        <w:pStyle w:val="BodyText"/>
      </w:pPr>
      <w:hyperlink r:id="rId104">
        <w:r>
          <w:rPr>
            <w:rStyle w:val="Hyperlink"/>
          </w:rPr>
          <w:t xml:space="preserve">Open source / orientation link →</w:t>
        </w:r>
      </w:hyperlink>
      <w:r>
        <w:t xml:space="preserve"> </w:t>
      </w:r>
      <w:hyperlink r:id="rId105">
        <w:r>
          <w:rPr>
            <w:rStyle w:val="Hyperlink"/>
          </w:rPr>
          <w:t xml:space="preserve">Consulted transcript →</w:t>
        </w:r>
      </w:hyperlink>
    </w:p>
    <w:p>
      <w:pPr>
        <w:pStyle w:val="BodyText"/>
      </w:pPr>
      <w:r>
        <w:t xml:space="preserve">provisional</w:t>
      </w:r>
    </w:p>
    <w:bookmarkEnd w:id="106"/>
    <w:bookmarkStart w:id="109" w:name="benedict-xvi-joseph-ratzinger-2"/>
    <w:p>
      <w:pPr>
        <w:pStyle w:val="Heading3"/>
      </w:pPr>
      <w:r>
        <w:t xml:space="preserve">Benedict XVI (Joseph Ratzinger)</w:t>
      </w:r>
    </w:p>
    <w:p>
      <w:pPr>
        <w:pStyle w:val="FirstParagraph"/>
      </w:pPr>
      <w:r>
        <w:t xml:space="preserve">Spe salvi · §§14–15</w:t>
      </w:r>
    </w:p>
    <w:p>
      <w:pPr>
        <w:pStyle w:val="BodyText"/>
      </w:pPr>
      <w:r>
        <w:t xml:space="preserve">consulted-primary-transcript. Official English text represented by an unofficial Vatican-scraping transcript; 30 November 2007. Official endpoint inaccessible and not line-collated.</w:t>
      </w:r>
    </w:p>
    <w:p>
      <w:pPr>
        <w:pStyle w:val="BodyText"/>
      </w:pPr>
      <w:r>
        <w:t xml:space="preserve">Theological application: communion has communal and practical scope rather than isolated absorption into an absolute.</w:t>
      </w:r>
    </w:p>
    <w:p>
      <w:pPr>
        <w:pStyle w:val="BodyText"/>
      </w:pPr>
      <w:r>
        <w:t xml:space="preserve">Not an independent metaphysical bridge to divine simplicity, freedom, or knowledge without learning from effects.</w:t>
      </w:r>
    </w:p>
    <w:p>
      <w:pPr>
        <w:pStyle w:val="BodyText"/>
      </w:pPr>
      <w:hyperlink r:id="rId107">
        <w:r>
          <w:rPr>
            <w:rStyle w:val="Hyperlink"/>
          </w:rPr>
          <w:t xml:space="preserve">Open source / orientation link →</w:t>
        </w:r>
      </w:hyperlink>
      <w:r>
        <w:t xml:space="preserve"> </w:t>
      </w:r>
      <w:hyperlink r:id="rId108">
        <w:r>
          <w:rPr>
            <w:rStyle w:val="Hyperlink"/>
          </w:rPr>
          <w:t xml:space="preserve">Consulted transcript →</w:t>
        </w:r>
      </w:hyperlink>
    </w:p>
    <w:p>
      <w:pPr>
        <w:pStyle w:val="BodyText"/>
      </w:pPr>
      <w:r>
        <w:t xml:space="preserve">pending</w:t>
      </w:r>
    </w:p>
    <w:bookmarkEnd w:id="109"/>
    <w:bookmarkStart w:id="111" w:name="joseph-ratzinger"/>
    <w:p>
      <w:pPr>
        <w:pStyle w:val="Heading3"/>
      </w:pPr>
      <w:r>
        <w:t xml:space="preserve">Joseph Ratzinger</w:t>
      </w:r>
    </w:p>
    <w:p>
      <w:pPr>
        <w:pStyle w:val="FirstParagraph"/>
      </w:pPr>
      <w:r>
        <w:t xml:space="preserve">Concerning the Notion of Person in Theology · Communio 17 (1990), 439–454</w:t>
      </w:r>
    </w:p>
    <w:p>
      <w:pPr>
        <w:pStyle w:val="BodyText"/>
      </w:pPr>
      <w:r>
        <w:t xml:space="preserve">unconsulted-primary-lead. Bibliographic lead only; publisher endpoint inaccessible.</w:t>
      </w:r>
    </w:p>
    <w:p>
      <w:pPr>
        <w:pStyle w:val="BodyText"/>
      </w:pPr>
      <w:r>
        <w:t xml:space="preserve">Nothing independently established by this research pass.</w:t>
      </w:r>
    </w:p>
    <w:p>
      <w:pPr>
        <w:pStyle w:val="BodyText"/>
      </w:pPr>
      <w:r>
        <w:t xml:space="preserve">Do not quote or attribute detailed technical arguments to this unconsulted essay; landing URL itself could not be verified against publisher output.</w:t>
      </w:r>
    </w:p>
    <w:p>
      <w:pPr>
        <w:pStyle w:val="BodyText"/>
      </w:pPr>
      <w:hyperlink r:id="rId110">
        <w:r>
          <w:rPr>
            <w:rStyle w:val="Hyperlink"/>
          </w:rPr>
          <w:t xml:space="preserve">Open source / orientation link →</w:t>
        </w:r>
      </w:hyperlink>
    </w:p>
    <w:p>
      <w:pPr>
        <w:pStyle w:val="BodyText"/>
      </w:pPr>
      <w:r>
        <w:t xml:space="preserve">inherited</w:t>
      </w:r>
    </w:p>
    <w:bookmarkEnd w:id="111"/>
    <w:bookmarkStart w:id="114" w:name="thomas-aquinas"/>
    <w:p>
      <w:pPr>
        <w:pStyle w:val="Heading3"/>
      </w:pPr>
      <w:r>
        <w:t xml:space="preserve">Thomas Aquinas</w:t>
      </w:r>
    </w:p>
    <w:p>
      <w:pPr>
        <w:pStyle w:val="FirstParagraph"/>
      </w:pPr>
      <w:r>
        <w:t xml:space="preserve">Summa theologiae · I, q. 3, a. 7, respondeo</w:t>
      </w:r>
    </w:p>
    <w:p>
      <w:pPr>
        <w:pStyle w:val="BodyText"/>
      </w:pPr>
      <w:r>
        <w:t xml:space="preserve">Inherited directly consulted primary translation from Participation and Beyond Participation; not newly collated for page III.. English Dominican Fathers, Complete American Edition; Gutenberg #17611 witness. New Advent is a public reading address.</w:t>
      </w:r>
    </w:p>
    <w:p>
      <w:pPr>
        <w:pStyle w:val="BodyText"/>
      </w:pPr>
      <w:r>
        <w:t xml:space="preserve">A historical resource for the argument from dependence on constituents; different concepts do not by themselves establish proper parts.</w:t>
      </w:r>
    </w:p>
    <w:p>
      <w:pPr>
        <w:pStyle w:val="BodyText"/>
      </w:pPr>
      <w:r>
        <w:t xml:space="preserve">Efficient uncausedness alone does not prove full simplicity. The modern KD reconstruction is not Aquinas’s complete argument.</w:t>
      </w:r>
    </w:p>
    <w:p>
      <w:pPr>
        <w:pStyle w:val="BodyText"/>
      </w:pPr>
      <w:hyperlink r:id="rId112">
        <w:r>
          <w:rPr>
            <w:rStyle w:val="Hyperlink"/>
          </w:rPr>
          <w:t xml:space="preserve">Open source / orientation link →</w:t>
        </w:r>
      </w:hyperlink>
      <w:r>
        <w:t xml:space="preserve"> </w:t>
      </w:r>
      <w:hyperlink r:id="rId113">
        <w:r>
          <w:rPr>
            <w:rStyle w:val="Hyperlink"/>
          </w:rPr>
          <w:t xml:space="preserve">Consulted transcript →</w:t>
        </w:r>
      </w:hyperlink>
    </w:p>
    <w:p>
      <w:pPr>
        <w:pStyle w:val="BodyText"/>
      </w:pPr>
      <w:r>
        <w:t xml:space="preserve">inherited</w:t>
      </w:r>
    </w:p>
    <w:bookmarkEnd w:id="114"/>
    <w:bookmarkStart w:id="116" w:name="thomas-aquinas-1"/>
    <w:p>
      <w:pPr>
        <w:pStyle w:val="Heading3"/>
      </w:pPr>
      <w:r>
        <w:t xml:space="preserve">Thomas Aquinas</w:t>
      </w:r>
    </w:p>
    <w:p>
      <w:pPr>
        <w:pStyle w:val="FirstParagraph"/>
      </w:pPr>
      <w:r>
        <w:t xml:space="preserve">Summa theologiae · I, q. 14, aa. 5, 8–9; especially a. 8, respondeo and ad 1/ad 3</w:t>
      </w:r>
    </w:p>
    <w:p>
      <w:pPr>
        <w:pStyle w:val="BodyText"/>
      </w:pPr>
      <w:r>
        <w:t xml:space="preserve">Inherited direct consultation of aa. 5 and 8 in Beyond Participation; a. 9 inherited from manuscript register N11, not freshly checked here.. English Dominican Fathers translation; Gutenberg #17611 and inherited manuscript source register.</w:t>
      </w:r>
    </w:p>
    <w:p>
      <w:pPr>
        <w:pStyle w:val="BodyText"/>
      </w:pPr>
      <w:r>
        <w:t xml:space="preserve">Choice, knowledge through causing, and knowledge of possibilities need distinct explanations.</w:t>
      </w:r>
    </w:p>
    <w:p>
      <w:pPr>
        <w:pStyle w:val="BodyText"/>
      </w:pPr>
      <w:r>
        <w:t xml:space="preserve">Does not independently establish God’s existence, unrestricted cognitive perfection, knowledge of a particular actual choice, or knowledge of every permitted creaturely act.</w:t>
      </w:r>
    </w:p>
    <w:p>
      <w:pPr>
        <w:pStyle w:val="BodyText"/>
      </w:pPr>
      <w:hyperlink r:id="rId115">
        <w:r>
          <w:rPr>
            <w:rStyle w:val="Hyperlink"/>
          </w:rPr>
          <w:t xml:space="preserve">Open source / orientation link →</w:t>
        </w:r>
      </w:hyperlink>
      <w:r>
        <w:t xml:space="preserve"> </w:t>
      </w:r>
      <w:hyperlink r:id="rId113">
        <w:r>
          <w:rPr>
            <w:rStyle w:val="Hyperlink"/>
          </w:rPr>
          <w:t xml:space="preserve">Consulted transcript →</w:t>
        </w:r>
      </w:hyperlink>
    </w:p>
    <w:p>
      <w:pPr>
        <w:pStyle w:val="BodyText"/>
      </w:pPr>
      <w:r>
        <w:t xml:space="preserve">inherited</w:t>
      </w:r>
    </w:p>
    <w:bookmarkEnd w:id="116"/>
    <w:bookmarkStart w:id="117" w:name="thomas-aquinas-2"/>
    <w:p>
      <w:pPr>
        <w:pStyle w:val="Heading3"/>
      </w:pPr>
      <w:r>
        <w:t xml:space="preserve">Thomas Aquinas</w:t>
      </w:r>
    </w:p>
    <w:p>
      <w:pPr>
        <w:pStyle w:val="FirstParagraph"/>
      </w:pPr>
      <w:r>
        <w:t xml:space="preserve">Summa theologiae · I, q. 19, aa. 2–3; a. 3, respondeo and ad 5</w:t>
      </w:r>
    </w:p>
    <w:p>
      <w:pPr>
        <w:pStyle w:val="BodyText"/>
      </w:pPr>
      <w:r>
        <w:t xml:space="preserve">Inherited directly consulted primary translation from Beyond Participation; no new critical collation for page III.. English Dominican Fathers translation; Gutenberg #17611 witness.</w:t>
      </w:r>
    </w:p>
    <w:p>
      <w:pPr>
        <w:pStyle w:val="BodyText"/>
      </w:pPr>
      <w:r>
        <w:t xml:space="preserve">A rational-voluntary resource for contingent communication; distinguishes necessity by supposition from absolute necessity.</w:t>
      </w:r>
    </w:p>
    <w:p>
      <w:pPr>
        <w:pStyle w:val="BodyText"/>
      </w:pPr>
      <w:r>
        <w:t xml:space="preserve">The account of reasons, purposes, and agency still needs defense. Neither non-exhaustion alone nor this quotation settles whether God remains intrinsically the same across alternative creations.</w:t>
      </w:r>
    </w:p>
    <w:p>
      <w:pPr>
        <w:pStyle w:val="BodyText"/>
      </w:pPr>
      <w:hyperlink r:id="rId45">
        <w:r>
          <w:rPr>
            <w:rStyle w:val="Hyperlink"/>
          </w:rPr>
          <w:t xml:space="preserve">Open source / orientation link →</w:t>
        </w:r>
      </w:hyperlink>
      <w:r>
        <w:t xml:space="preserve"> </w:t>
      </w:r>
      <w:hyperlink r:id="rId113">
        <w:r>
          <w:rPr>
            <w:rStyle w:val="Hyperlink"/>
          </w:rPr>
          <w:t xml:space="preserve">Consulted transcript →</w:t>
        </w:r>
      </w:hyperlink>
    </w:p>
    <w:p>
      <w:pPr>
        <w:pStyle w:val="BodyText"/>
      </w:pPr>
      <w:r>
        <w:t xml:space="preserve">inherited</w:t>
      </w:r>
    </w:p>
    <w:bookmarkEnd w:id="117"/>
    <w:bookmarkStart w:id="119" w:name="thomas-aquinas-3"/>
    <w:p>
      <w:pPr>
        <w:pStyle w:val="Heading3"/>
      </w:pPr>
      <w:r>
        <w:t xml:space="preserve">Thomas Aquinas</w:t>
      </w:r>
    </w:p>
    <w:p>
      <w:pPr>
        <w:pStyle w:val="FirstParagraph"/>
      </w:pPr>
      <w:r>
        <w:t xml:space="preserve">Summa theologiae · I, q. 45, a. 3; especially ad 1</w:t>
      </w:r>
    </w:p>
    <w:p>
      <w:pPr>
        <w:pStyle w:val="BodyText"/>
      </w:pPr>
      <w:r>
        <w:t xml:space="preserve">Inherited manuscript source register N11; translation check reported there, not repeated for page III.. English Dominican Fathers translation, New Advent/CCEL as reported in the inherited manuscript register.</w:t>
      </w:r>
    </w:p>
    <w:p>
      <w:pPr>
        <w:pStyle w:val="BodyText"/>
      </w:pPr>
      <w:r>
        <w:t xml:space="preserve">A classical source for distinguishing divine action in relation to creatures from creatures’ real dependence on God.</w:t>
      </w:r>
    </w:p>
    <w:p>
      <w:pPr>
        <w:pStyle w:val="BodyText"/>
      </w:pPr>
      <w:r>
        <w:t xml:space="preserve">Creation understood as a relation does not by itself explain free intentional choice, control, or justified knowledge. This account does not establish the Trinity or the Incarnation.</w:t>
      </w:r>
    </w:p>
    <w:p>
      <w:pPr>
        <w:pStyle w:val="BodyText"/>
      </w:pPr>
      <w:hyperlink r:id="rId118">
        <w:r>
          <w:rPr>
            <w:rStyle w:val="Hyperlink"/>
          </w:rPr>
          <w:t xml:space="preserve">Open source / orientation link →</w:t>
        </w:r>
      </w:hyperlink>
    </w:p>
    <w:p>
      <w:pPr>
        <w:pStyle w:val="BodyText"/>
      </w:pPr>
      <w:r>
        <w:t xml:space="preserve">inherited</w:t>
      </w:r>
    </w:p>
    <w:bookmarkEnd w:id="119"/>
    <w:bookmarkStart w:id="121" w:name="augustine"/>
    <w:p>
      <w:pPr>
        <w:pStyle w:val="Heading3"/>
      </w:pPr>
      <w:r>
        <w:t xml:space="preserve">Augustine</w:t>
      </w:r>
    </w:p>
    <w:p>
      <w:pPr>
        <w:pStyle w:val="FirstParagraph"/>
      </w:pPr>
      <w:r>
        <w:t xml:space="preserve">Confessions · IV.10.15</w:t>
      </w:r>
    </w:p>
    <w:p>
      <w:pPr>
        <w:pStyle w:val="BodyText"/>
      </w:pPr>
      <w:r>
        <w:t xml:space="preserve">Inherited manuscript primary quotation, register N5; not freshly consulted for page III.. J. G. Pilkington translation, NPNF first series I (1887); inherited structural locus.</w:t>
      </w:r>
    </w:p>
    <w:p>
      <w:pPr>
        <w:pStyle w:val="BodyText"/>
      </w:pPr>
      <w:r>
        <w:t xml:space="preserve">A historical illustration of how temporal succession can contribute to an achieved whole.</w:t>
      </w:r>
    </w:p>
    <w:p>
      <w:pPr>
        <w:pStyle w:val="BodyText"/>
      </w:pPr>
      <w:r>
        <w:t xml:space="preserve">The claim that finite conditions partly constitute some goods is the project’s constructive extension. This passage does not show that every loss or suffering is beneficial.</w:t>
      </w:r>
    </w:p>
    <w:p>
      <w:pPr>
        <w:pStyle w:val="BodyText"/>
      </w:pPr>
      <w:hyperlink r:id="rId120">
        <w:r>
          <w:rPr>
            <w:rStyle w:val="Hyperlink"/>
          </w:rPr>
          <w:t xml:space="preserve">Open source / orientation link →</w:t>
        </w:r>
      </w:hyperlink>
    </w:p>
    <w:p>
      <w:pPr>
        <w:pStyle w:val="BodyText"/>
      </w:pPr>
      <w:r>
        <w:t xml:space="preserve">pending</w:t>
      </w:r>
    </w:p>
    <w:bookmarkEnd w:id="121"/>
    <w:bookmarkStart w:id="123" w:name="augustine-1"/>
    <w:p>
      <w:pPr>
        <w:pStyle w:val="Heading3"/>
      </w:pPr>
      <w:r>
        <w:t xml:space="preserve">Augustine</w:t>
      </w:r>
    </w:p>
    <w:p>
      <w:pPr>
        <w:pStyle w:val="FirstParagraph"/>
      </w:pPr>
      <w:r>
        <w:t xml:space="preserve">De diversis quaestionibus octoginta tribus (Eighty-three Different Questions) · q. 46, especially §§1–2, De ideis</w:t>
      </w:r>
    </w:p>
    <w:p>
      <w:pPr>
        <w:pStyle w:val="BodyText"/>
      </w:pPr>
      <w:r>
        <w:t xml:space="preserve">Inherited primary bibliographic lead from Participation; q. 46 was not directly consulted in the website research and is not freshly verified here.. No primary critical-edition collation performed in this research pass.</w:t>
      </w:r>
    </w:p>
    <w:p>
      <w:pPr>
        <w:pStyle w:val="BodyText"/>
      </w:pPr>
      <w:r>
        <w:t xml:space="preserve">Nothing independently established by this unconsulted primary lead; the broader exemplar account has other consulted witnesses.</w:t>
      </w:r>
    </w:p>
    <w:p>
      <w:pPr>
        <w:pStyle w:val="BodyText"/>
      </w:pPr>
      <w:r>
        <w:t xml:space="preserve">Do not treat the link as a primary witness or quote this question as newly verified. Exemplar intelligibility still differs from actual creative selection.</w:t>
      </w:r>
    </w:p>
    <w:p>
      <w:pPr>
        <w:pStyle w:val="BodyText"/>
      </w:pPr>
      <w:hyperlink r:id="rId122">
        <w:r>
          <w:rPr>
            <w:rStyle w:val="Hyperlink"/>
          </w:rPr>
          <w:t xml:space="preserve">Open source / orientation link →</w:t>
        </w:r>
      </w:hyperlink>
    </w:p>
    <w:p>
      <w:pPr>
        <w:pStyle w:val="BodyText"/>
      </w:pPr>
      <w:r>
        <w:t xml:space="preserve">inherited</w:t>
      </w:r>
    </w:p>
    <w:bookmarkEnd w:id="123"/>
    <w:bookmarkStart w:id="126" w:name="john-henry-newman"/>
    <w:p>
      <w:pPr>
        <w:pStyle w:val="Heading3"/>
      </w:pPr>
      <w:r>
        <w:t xml:space="preserve">John Henry Newman</w:t>
      </w:r>
    </w:p>
    <w:p>
      <w:pPr>
        <w:pStyle w:val="FirstParagraph"/>
      </w:pPr>
      <w:r>
        <w:t xml:space="preserve">An Essay on the Development of Christian Doctrine · Part II, chapter V, §§I–VII; opening §4 on varying cogency, independence, and applicability</w:t>
      </w:r>
    </w:p>
    <w:p>
      <w:pPr>
        <w:pStyle w:val="BodyText"/>
      </w:pPr>
      <w:r>
        <w:t xml:space="preserve">Inherited directly consulted primary witness from Participation; no new edition collation for page III.. Project Gutenberg #35110 / GITenberg transcription.</w:t>
      </w:r>
    </w:p>
    <w:p>
      <w:pPr>
        <w:pStyle w:val="BodyText"/>
      </w:pPr>
      <w:r>
        <w:t xml:space="preserve">An analogical discipline for constructive synthesis that conserves principles and prior achievements while clarifying tensions.</w:t>
      </w:r>
    </w:p>
    <w:p>
      <w:pPr>
        <w:pStyle w:val="BodyText"/>
      </w:pPr>
      <w:r>
        <w:t xml:space="preserve">Not an ecclesial certification, proof of new metaphysical premises, or license to harmonize contradiction. A new page cannot already demonstrate chronic historical vigour.</w:t>
      </w:r>
    </w:p>
    <w:p>
      <w:pPr>
        <w:pStyle w:val="BodyText"/>
      </w:pPr>
      <w:hyperlink r:id="rId124">
        <w:r>
          <w:rPr>
            <w:rStyle w:val="Hyperlink"/>
          </w:rPr>
          <w:t xml:space="preserve">Open source / orientation link →</w:t>
        </w:r>
      </w:hyperlink>
      <w:r>
        <w:t xml:space="preserve"> </w:t>
      </w:r>
      <w:hyperlink r:id="rId125">
        <w:r>
          <w:rPr>
            <w:rStyle w:val="Hyperlink"/>
          </w:rPr>
          <w:t xml:space="preserve">Consulted transcript →</w:t>
        </w:r>
      </w:hyperlink>
    </w:p>
    <w:bookmarkEnd w:id="126"/>
    <w:p>
      <w:pPr>
        <w:pStyle w:val="BodyText"/>
      </w:pPr>
      <w:r>
        <w:t xml:space="preserve">Filters inspect the complete 28-entry ledger, including specialist scholarship and unconsulted leads such as Ratzinger’s 1990 Person essay. This remains a disciplined research proposal, rather than an exhaustive critical-edition survey.</w:t>
      </w:r>
    </w:p>
    <w:p>
      <w:pPr>
        <w:pStyle w:val="BodyText"/>
      </w:pPr>
      <w:hyperlink r:id="rId127">
        <w:r>
          <w:rPr>
            <w:rStyle w:val="Hyperlink"/>
          </w:rPr>
          <w:t xml:space="preserve">Shared reading guide →</w:t>
        </w:r>
      </w:hyperlink>
      <w:hyperlink r:id="rId128">
        <w:r>
          <w:rPr>
            <w:rStyle w:val="Hyperlink"/>
          </w:rPr>
          <w:t xml:space="preserve">Complete Part III report →</w:t>
        </w:r>
      </w:hyperlink>
      <w:hyperlink r:id="rId129">
        <w:r>
          <w:rPr>
            <w:rStyle w:val="Hyperlink"/>
          </w:rPr>
          <w:t xml:space="preserve">Formal audit &amp; cases →</w:t>
        </w:r>
      </w:hyperlink>
      <w:hyperlink r:id="rId130">
        <w:r>
          <w:rPr>
            <w:rStyle w:val="Hyperlink"/>
          </w:rPr>
          <w:t xml:space="preserve">Source dossier →</w:t>
        </w:r>
      </w:hyperlink>
      <w:hyperlink r:id="rId131">
        <w:r>
          <w:rPr>
            <w:rStyle w:val="Hyperlink"/>
          </w:rPr>
          <w:t xml:space="preserve">Machine-readable source ledger →</w:t>
        </w:r>
      </w:hyperlink>
    </w:p>
    <w:bookmarkStart w:id="135" w:name="Xa6450c4cb08f94a8b1d8863bfb1c274b01b76d8"/>
    <w:p>
      <w:pPr>
        <w:pStyle w:val="Heading3"/>
      </w:pPr>
      <w:r>
        <w:t xml:space="preserve">Further reading and an imaginative companion</w:t>
      </w:r>
    </w:p>
    <w:p>
      <w:pPr>
        <w:pStyle w:val="FirstParagraph"/>
      </w:pPr>
      <w:r>
        <w:t xml:space="preserve">Two optional companions to this inquiry into divine action deserve an honorable mention.</w:t>
      </w:r>
    </w:p>
    <w:bookmarkStart w:id="133" w:name="a-philosophical-resource"/>
    <w:p>
      <w:pPr>
        <w:pStyle w:val="Heading4"/>
      </w:pPr>
      <w:r>
        <w:t xml:space="preserve">A philosophical resource</w:t>
      </w:r>
    </w:p>
    <w:p>
      <w:pPr>
        <w:pStyle w:val="FirstParagraph"/>
      </w:pPr>
      <w:r>
        <w:t xml:space="preserve">Kerr, G. (2023).</w:t>
      </w:r>
      <w:r>
        <w:t xml:space="preserve"> </w:t>
      </w:r>
      <w:hyperlink r:id="rId132">
        <w:r>
          <w:rPr>
            <w:rStyle w:val="Hyperlink"/>
          </w:rPr>
          <w:t xml:space="preserve">God and the alone world</w:t>
        </w:r>
      </w:hyperlink>
      <w:r>
        <w:t xml:space="preserve">.</w:t>
      </w:r>
      <w:r>
        <w:t xml:space="preserve"> </w:t>
      </w:r>
      <w:r>
        <w:rPr>
          <w:i/>
          <w:iCs/>
        </w:rPr>
        <w:t xml:space="preserve">Irish Theological Quarterly</w:t>
      </w:r>
      <w:r>
        <w:t xml:space="preserve">, 88(1), 76–89.</w:t>
      </w:r>
    </w:p>
    <w:p>
      <w:pPr>
        <w:pStyle w:val="BodyText"/>
      </w:pPr>
      <w:r>
        <w:t xml:space="preserve">A further-reading lead for pursuing the question of divine agency alongside the distinctions developed here between power, actual action, and knowledge. No particular argument from the article is attributed or adopted here.</w:t>
      </w:r>
    </w:p>
    <w:bookmarkEnd w:id="133"/>
    <w:bookmarkStart w:id="134" w:name="a-loose-comic-book-metaphor"/>
    <w:p>
      <w:pPr>
        <w:pStyle w:val="Heading4"/>
      </w:pPr>
      <w:r>
        <w:t xml:space="preserve">A loose comic-book metaphor</w:t>
      </w:r>
    </w:p>
    <w:p>
      <w:pPr>
        <w:pStyle w:val="FirstParagraph"/>
      </w:pPr>
      <w:r>
        <w:t xml:space="preserve">Ewing, A., Vecchio, L., Curiel, D., Aburtov, J., &amp; Sabino, J. V. C. (2024).</w:t>
      </w:r>
      <w:r>
        <w:t xml:space="preserve"> </w:t>
      </w:r>
      <w:r>
        <w:rPr>
          <w:i/>
          <w:iCs/>
        </w:rPr>
        <w:t xml:space="preserve">Resurrection of Magneto #4</w:t>
      </w:r>
      <w:r>
        <w:t xml:space="preserve">. Marvel Comics.</w:t>
      </w:r>
    </w:p>
    <w:p>
      <w:pPr>
        <w:pStyle w:val="BodyText"/>
      </w:pPr>
      <w:r>
        <w:t xml:space="preserve">Consider Magneto as an imaginative comparison: an agent directing power toward a particular result can help us picture direct agency without a preliminary chain of separate actions. Directness alone does not establish freedom, and it need not mean reflex or psychological flow. The character remains a finite fictional agent; the comparison supplies no premise about divine simplicity, creation, or knowledge.</w:t>
      </w:r>
    </w:p>
    <w:p>
      <w:pPr>
        <w:pStyle w:val="BodyText"/>
      </w:pPr>
      <w:r>
        <w:t xml:space="preserve">These are reader-suggested resources. Bibliographic details are supplied by the reader; the article and comic have not been directly consulted for this page. The metaphysical account rests on the arguments and premises developed above.</w:t>
      </w:r>
    </w:p>
    <w:bookmarkEnd w:id="134"/>
    <w:bookmarkEnd w:id="135"/>
    <w:p>
      <w:pPr>
        <w:pStyle w:val="BodyText"/>
      </w:pPr>
      <w:r>
        <w:t xml:space="preserve">12 / THE RESULT</w:t>
      </w:r>
    </w:p>
    <w:bookmarkStart w:id="136" w:name="a-gift-can-become-a-life"/>
    <w:p>
      <w:pPr>
        <w:pStyle w:val="Heading2"/>
      </w:pPr>
      <w:r>
        <w:t xml:space="preserve">A gift can become a life</w:t>
      </w:r>
    </w:p>
    <w:p>
      <w:pPr>
        <w:pStyle w:val="FirstParagraph"/>
      </w:pPr>
      <w:r>
        <w:t xml:space="preserve">Creaturely fulfillment can be real without constituting or completing God.</w:t>
      </w:r>
    </w:p>
    <w:bookmarkEnd w:id="136"/>
    <w:p>
      <w:pPr>
        <w:pStyle w:val="BodyText"/>
      </w:pPr>
      <w:r>
        <w:t xml:space="preserve">POSITIVE RESULT / CONDITIONAL METAPHYSICS</w:t>
      </w:r>
    </w:p>
    <w:p>
      <w:pPr>
        <w:pStyle w:val="BodyText"/>
      </w:pPr>
      <w:r>
        <w:t xml:space="preserve">The core result is an explanatory separation with positive consequences. What an agent produces, intends, controls, communicates, and knows cannot simply replace one another. A creature can receive a real power and genuinely exercise it. A finite history can bring a new good into existence without supplying God with a missing perfection. Communion can fulfill the recipient while preserving its identity.</w:t>
      </w:r>
    </w:p>
    <w:p>
      <w:pPr>
        <w:pStyle w:val="BodyText"/>
      </w:pPr>
      <w:r>
        <w:t xml:space="preserve">Applied to divine action, the proposal locates the contingent direction of creation in God’s real controlled relation to its intended effect, rather than in an acquired divine constituent. It must still defend that intentional ontology and the non-receptive knowledge it requires. Those are substantive bridges, not consequences of the word “simple.”</w:t>
      </w:r>
    </w:p>
    <w:bookmarkStart w:id="137" w:name="X83f7a916e74ce85e99fce175d75a133a3df1a69"/>
    <w:p>
      <w:pPr>
        <w:pStyle w:val="Heading3"/>
      </w:pPr>
      <w:r>
        <w:t xml:space="preserve">From source to plenitude, and to “all in all”</w:t>
      </w:r>
    </w:p>
    <w:p>
      <w:pPr>
        <w:pStyle w:val="FirstParagraph"/>
      </w:pPr>
      <w:r>
        <w:t xml:space="preserve">The six simplicity accomplishments exclude specified forms of received divine actuality. Their negative achievement does not alone establish every positive perfection. A further causal-adequacy and pure-perfection argument must warrant intellect, goodness, and plenitude. Universal sourcehood must likewise be argued, rather than inferred from a local cause.</w:t>
      </w:r>
    </w:p>
    <w:p>
      <w:pPr>
        <w:pStyle w:val="BodyText"/>
      </w:pPr>
      <w:r>
        <w:t xml:space="preserve">Under those bridges, God can be understood as the unreceived fullness from which every created good receives its actuality.</w:t>
      </w:r>
      <w:r>
        <w:t xml:space="preserve"> </w:t>
      </w:r>
      <w:r>
        <w:rPr>
          <w:i/>
          <w:iCs/>
        </w:rPr>
        <w:t xml:space="preserve">The All</w:t>
      </w:r>
      <w:r>
        <w:t xml:space="preserve"> </w:t>
      </w:r>
      <w:r>
        <w:t xml:space="preserve">names that fullness under universal sourcehood, not an aggregate made by adding God to the universe. Free communication remains a further step: abundance does not select a world merely by being abundant.</w:t>
      </w:r>
    </w:p>
    <w:p>
      <w:pPr>
        <w:pStyle w:val="BodyText"/>
      </w:pPr>
      <w:r>
        <w:t xml:space="preserve">Christian revelation then gives the final horizon that metaphysics alone cannot generate. The supplied manuscript situates</w:t>
      </w:r>
      <w:r>
        <w:t xml:space="preserve"> </w:t>
      </w:r>
      <w:r>
        <w:rPr>
          <w:b/>
          <w:bCs/>
        </w:rPr>
        <w:t xml:space="preserve">1 Corinthians 15:20–28</w:t>
      </w:r>
      <w:r>
        <w:t xml:space="preserve"> </w:t>
      </w:r>
      <w:r>
        <w:t xml:space="preserve">in its Christological setting: resurrection, Christ’s reign, the defeat of death, and the handing over of the kingdom frame the confession that God is all in all. This is a contextual paraphrase, not a newly collated biblical translation. The movement is the consummation of creation through Christ, not the source’s acquisition of its final completeness. The verse alone neither proves this philosophical architecture nor settles every person’s final destiny.</w:t>
      </w:r>
    </w:p>
    <w:p>
      <w:pPr>
        <w:pStyle w:val="BodyText"/>
      </w:pPr>
      <w:r>
        <w:t xml:space="preserve">God does not become complete through creation. Creation can become fulfilled through God.</w:t>
      </w:r>
    </w:p>
    <w:p>
      <w:pPr>
        <w:pStyle w:val="BodyText"/>
      </w:pPr>
      <w:r>
        <w:t xml:space="preserve">Resurrection and communion preserve embodied personal identity; beatific intimacy does not exhaust or divide its divine object. The end is therefore more than dependence made visible: it is a received life brought into knowing and loving communion. That promised consummation is theological content; the metaphysical contribution is to make its intimacy, creaturely reality, and divine sufficiency intelligible together.</w:t>
      </w:r>
    </w:p>
    <w:bookmarkEnd w:id="137"/>
    <w:p>
      <w:pPr>
        <w:pStyle w:val="Heading1"/>
      </w:pPr>
      <w:r>
        <w:t xml:space="preserve">Interactive material — complete static record</w:t>
      </w:r>
    </w:p>
    <w:bookmarkStart w:id="284" w:name="X3bca05893aeeb8638e0c772a7ae58bbbbaf9508"/>
    <w:p>
      <w:pPr>
        <w:pStyle w:val="Heading2"/>
      </w:pPr>
      <w:r>
        <w:t xml:space="preserve">Part III — All six cases and sixteen variants</w:t>
      </w:r>
    </w:p>
    <w:p>
      <w:pPr>
        <w:pStyle w:val="FirstParagraph"/>
      </w:pPr>
      <w:r>
        <w:t xml:space="preserve">This appendix preserves every output and assigned record from the page’s six-case inspector: sixteen variants in total. These are assigned example facts, not proof that their metaphysical interpretation is true. wA and wB label alternatives, not times in God. A passing check establishes what the records supply; it does not prove divine simplicity, freedom, intrinsic invariance, or omniscience.</w:t>
      </w:r>
    </w:p>
    <w:bookmarkStart w:id="154" w:name="one-light-different-receptions"/>
    <w:p>
      <w:pPr>
        <w:pStyle w:val="Heading3"/>
      </w:pPr>
      <w:r>
        <w:t xml:space="preserve">1. One light, different receptions</w:t>
      </w:r>
    </w:p>
    <w:p>
      <w:pPr>
        <w:pStyle w:val="FirstParagraph"/>
      </w:pPr>
      <w:r>
        <w:t xml:space="preserve">Must a changed effect mean that its provider has changed?</w:t>
      </w:r>
    </w:p>
    <w:p>
      <w:pPr>
        <w:pStyle w:val="BodyText"/>
      </w:pPr>
      <w:r>
        <w:t xml:space="preserve">A lamp has the same recorded radiant power while the recipient moves. Compare this with a change that is merely relative to an observer.</w:t>
      </w:r>
    </w:p>
    <w:bookmarkStart w:id="145" w:name="the-recipient-moves"/>
    <w:p>
      <w:pPr>
        <w:pStyle w:val="Heading4"/>
      </w:pPr>
      <w:r>
        <w:t xml:space="preserve">1.1. The recipient moves</w:t>
      </w:r>
    </w:p>
    <w:p>
      <w:pPr>
        <w:pStyle w:val="FirstParagraph"/>
      </w:pPr>
      <w:r>
        <w:t xml:space="preserve">Status: finite example</w:t>
      </w:r>
    </w:p>
    <w:p>
      <w:pPr>
        <w:pStyle w:val="BodyText"/>
      </w:pPr>
      <w:r>
        <w:t xml:space="preserve">Finite reception can help determine an effect’s mode.</w:t>
      </w:r>
    </w:p>
    <w:bookmarkStart w:id="138" w:name="what-differs-in-this-example"/>
    <w:p>
      <w:pPr>
        <w:pStyle w:val="Heading5"/>
      </w:pPr>
      <w:r>
        <w:t xml:space="preserve">What differs in this example</w:t>
      </w:r>
    </w:p>
    <w:p>
      <w:pPr>
        <w:pStyle w:val="Compact"/>
        <w:numPr>
          <w:ilvl w:val="0"/>
          <w:numId w:val="1001"/>
        </w:numPr>
      </w:pPr>
      <w:r>
        <w:t xml:space="preserve">Recipient conditions</w:t>
      </w:r>
    </w:p>
    <w:p>
      <w:pPr>
        <w:pStyle w:val="Compact"/>
        <w:numPr>
          <w:ilvl w:val="0"/>
          <w:numId w:val="1001"/>
        </w:numPr>
      </w:pPr>
      <w:r>
        <w:t xml:space="preserve">Received illumination</w:t>
      </w:r>
    </w:p>
    <w:bookmarkEnd w:id="138"/>
    <w:bookmarkStart w:id="139" w:name="checks-against-the-assigned-records"/>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provider-stable</w:t>
            </w:r>
          </w:p>
        </w:tc>
        <w:tc>
          <w:tcPr>
            <w:tcW w:type="dxa" w:w="2749"/>
          </w:tcPr>
          <w:p>
            <w:pPr>
              <w:pStyle w:val="BodyText"/>
              <w:keepNext w:val="0"/>
              <w:spacing w:after="80" w:line="252" w:lineRule="auto"/>
              <w:jc w:val="left"/>
            </w:pPr>
            <w:r>
              <w:rPr>
                <w:rFonts w:ascii="Calibri" w:hAnsi="Calibri"/>
                <w:sz w:val="17"/>
              </w:rPr>
              <w:t xml:space="preserve">The recorded radiant power is stable</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This compares one measured respect, not every intrinsic property of a finite lamp.</w:t>
            </w:r>
          </w:p>
        </w:tc>
      </w:tr>
      <w:tr>
        <w:tc>
          <w:tcPr>
            <w:tcW w:type="dxa" w:w="1689"/>
          </w:tcPr>
          <w:p>
            <w:pPr>
              <w:pStyle w:val="BodyText"/>
              <w:keepNext w:val="0"/>
              <w:spacing w:after="80" w:line="252" w:lineRule="auto"/>
              <w:jc w:val="left"/>
            </w:pPr>
            <w:r>
              <w:rPr>
                <w:rFonts w:ascii="Calibri" w:hAnsi="Calibri"/>
                <w:sz w:val="17"/>
              </w:rPr>
              <w:t xml:space="preserve">reception</w:t>
            </w:r>
          </w:p>
        </w:tc>
        <w:tc>
          <w:tcPr>
            <w:tcW w:type="dxa" w:w="2749"/>
          </w:tcPr>
          <w:p>
            <w:pPr>
              <w:pStyle w:val="BodyText"/>
              <w:keepNext w:val="0"/>
              <w:spacing w:after="80" w:line="252" w:lineRule="auto"/>
              <w:jc w:val="left"/>
            </w:pPr>
            <w:r>
              <w:rPr>
                <w:rFonts w:ascii="Calibri" w:hAnsi="Calibri"/>
                <w:sz w:val="17"/>
              </w:rPr>
              <w:t xml:space="preserve">Different reception is causally recorded</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Changing received light requires recipient differences and recorded illumination; a relative description alone is insufficient.</w:t>
            </w:r>
          </w:p>
        </w:tc>
      </w:tr>
    </w:tbl>
    <w:bookmarkEnd w:id="139"/>
    <w:bookmarkStart w:id="140" w:name="what-the-assigned-facts-support"/>
    <w:p>
      <w:pPr>
        <w:pStyle w:val="Heading5"/>
      </w:pPr>
      <w:r>
        <w:t xml:space="preserve">What the assigned facts support</w:t>
      </w:r>
    </w:p>
    <w:p>
      <w:pPr>
        <w:pStyle w:val="Compact"/>
        <w:numPr>
          <w:ilvl w:val="0"/>
          <w:numId w:val="1002"/>
        </w:numPr>
      </w:pPr>
      <w:r>
        <w:t xml:space="preserve">The received effect varies although the provider’s recorded radiant power does not.</w:t>
      </w:r>
    </w:p>
    <w:bookmarkEnd w:id="140"/>
    <w:bookmarkStart w:id="141" w:name="what-they-do-not-establish"/>
    <w:p>
      <w:pPr>
        <w:pStyle w:val="Heading5"/>
      </w:pPr>
      <w:r>
        <w:t xml:space="preserve">What they do not establish</w:t>
      </w:r>
    </w:p>
    <w:p>
      <w:pPr>
        <w:pStyle w:val="Compact"/>
        <w:numPr>
          <w:ilvl w:val="0"/>
          <w:numId w:val="1003"/>
        </w:numPr>
      </w:pPr>
      <w:r>
        <w:t xml:space="preserve">No inference to an absolutely invariant source, divine simplicity, or intentional authorship follows.</w:t>
      </w:r>
    </w:p>
    <w:bookmarkEnd w:id="141"/>
    <w:bookmarkStart w:id="144" w:name="assigned-facts"/>
    <w:p>
      <w:pPr>
        <w:pStyle w:val="Heading5"/>
      </w:pPr>
      <w:r>
        <w:t xml:space="preserve">Assigned facts</w:t>
      </w:r>
    </w:p>
    <w:bookmarkStart w:id="142" w:name="intrinsic-6-assigned-records"/>
    <w:p>
      <w:pPr>
        <w:pStyle w:val="Heading6"/>
      </w:pPr>
      <w:r>
        <w:t xml:space="preserve">intrinsic — 6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["lamp","radiant-power","steady","t0"]</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["lamp","radiant-power","steady","t1"]</w:t>
            </w:r>
          </w:p>
        </w:tc>
      </w:tr>
      <w:tr>
        <w:tc>
          <w:tcPr>
            <w:tcW w:type="dxa" w:w="2484"/>
          </w:tcPr>
          <w:p>
            <w:pPr>
              <w:pStyle w:val="BodyText"/>
              <w:keepNext w:val="0"/>
              <w:spacing w:after="80" w:line="252" w:lineRule="auto"/>
              <w:jc w:val="left"/>
            </w:pPr>
            <w:r>
              <w:rPr>
                <w:rFonts w:ascii="Calibri" w:hAnsi="Calibri"/>
                <w:sz w:val="17"/>
              </w:rPr>
              <w:t xml:space="preserve">3</w:t>
            </w:r>
          </w:p>
        </w:tc>
        <w:tc>
          <w:tcPr>
            <w:tcW w:type="dxa" w:w="7452"/>
          </w:tcPr>
          <w:p>
            <w:pPr>
              <w:pStyle w:val="BodyText"/>
              <w:keepNext w:val="0"/>
              <w:spacing w:after="80" w:line="252" w:lineRule="auto"/>
              <w:jc w:val="left"/>
            </w:pPr>
            <w:r>
              <w:rPr>
                <w:rFonts w:ascii="Calibri" w:hAnsi="Calibri"/>
                <w:sz w:val="17"/>
              </w:rPr>
              <w:t xml:space="preserve">["recipient","distance","near","t0"]</w:t>
            </w:r>
          </w:p>
        </w:tc>
      </w:tr>
      <w:tr>
        <w:tc>
          <w:tcPr>
            <w:tcW w:type="dxa" w:w="2484"/>
          </w:tcPr>
          <w:p>
            <w:pPr>
              <w:pStyle w:val="BodyText"/>
              <w:keepNext w:val="0"/>
              <w:spacing w:after="80" w:line="252" w:lineRule="auto"/>
              <w:jc w:val="left"/>
            </w:pPr>
            <w:r>
              <w:rPr>
                <w:rFonts w:ascii="Calibri" w:hAnsi="Calibri"/>
                <w:sz w:val="17"/>
              </w:rPr>
              <w:t xml:space="preserve">4</w:t>
            </w:r>
          </w:p>
        </w:tc>
        <w:tc>
          <w:tcPr>
            <w:tcW w:type="dxa" w:w="7452"/>
          </w:tcPr>
          <w:p>
            <w:pPr>
              <w:pStyle w:val="BodyText"/>
              <w:keepNext w:val="0"/>
              <w:spacing w:after="80" w:line="252" w:lineRule="auto"/>
              <w:jc w:val="left"/>
            </w:pPr>
            <w:r>
              <w:rPr>
                <w:rFonts w:ascii="Calibri" w:hAnsi="Calibri"/>
                <w:sz w:val="17"/>
              </w:rPr>
              <w:t xml:space="preserve">["recipient","distance","far","t1"]</w:t>
            </w:r>
          </w:p>
        </w:tc>
      </w:tr>
      <w:tr>
        <w:tc>
          <w:tcPr>
            <w:tcW w:type="dxa" w:w="2484"/>
          </w:tcPr>
          <w:p>
            <w:pPr>
              <w:pStyle w:val="BodyText"/>
              <w:keepNext w:val="0"/>
              <w:spacing w:after="80" w:line="252" w:lineRule="auto"/>
              <w:jc w:val="left"/>
            </w:pPr>
            <w:r>
              <w:rPr>
                <w:rFonts w:ascii="Calibri" w:hAnsi="Calibri"/>
                <w:sz w:val="17"/>
              </w:rPr>
              <w:t xml:space="preserve">5</w:t>
            </w:r>
          </w:p>
        </w:tc>
        <w:tc>
          <w:tcPr>
            <w:tcW w:type="dxa" w:w="7452"/>
          </w:tcPr>
          <w:p>
            <w:pPr>
              <w:pStyle w:val="BodyText"/>
              <w:keepNext w:val="0"/>
              <w:spacing w:after="80" w:line="252" w:lineRule="auto"/>
              <w:jc w:val="left"/>
            </w:pPr>
            <w:r>
              <w:rPr>
                <w:rFonts w:ascii="Calibri" w:hAnsi="Calibri"/>
                <w:sz w:val="17"/>
              </w:rPr>
              <w:t xml:space="preserve">["recipient","received-light","brighter","t0"]</w:t>
            </w:r>
          </w:p>
        </w:tc>
      </w:tr>
      <w:tr>
        <w:tc>
          <w:tcPr>
            <w:tcW w:type="dxa" w:w="2484"/>
          </w:tcPr>
          <w:p>
            <w:pPr>
              <w:pStyle w:val="BodyText"/>
              <w:keepNext w:val="0"/>
              <w:spacing w:after="80" w:line="252" w:lineRule="auto"/>
              <w:jc w:val="left"/>
            </w:pPr>
            <w:r>
              <w:rPr>
                <w:rFonts w:ascii="Calibri" w:hAnsi="Calibri"/>
                <w:sz w:val="17"/>
              </w:rPr>
              <w:t xml:space="preserve">6</w:t>
            </w:r>
          </w:p>
        </w:tc>
        <w:tc>
          <w:tcPr>
            <w:tcW w:type="dxa" w:w="7452"/>
          </w:tcPr>
          <w:p>
            <w:pPr>
              <w:pStyle w:val="BodyText"/>
              <w:keepNext w:val="0"/>
              <w:spacing w:after="80" w:line="252" w:lineRule="auto"/>
              <w:jc w:val="left"/>
            </w:pPr>
            <w:r>
              <w:rPr>
                <w:rFonts w:ascii="Calibri" w:hAnsi="Calibri"/>
                <w:sz w:val="17"/>
              </w:rPr>
              <w:t xml:space="preserve">["recipient","received-light","dimmer","t1"]</w:t>
            </w:r>
          </w:p>
        </w:tc>
      </w:tr>
    </w:tbl>
    <w:bookmarkEnd w:id="142"/>
    <w:bookmarkStart w:id="143" w:name="acts-2-assigned-records"/>
    <w:p>
      <w:pPr>
        <w:pStyle w:val="Heading6"/>
      </w:pPr>
      <w:r>
        <w:t xml:space="preserve">acts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["lamp","illumination","recipient","t0"]</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["lamp","illumination","recipient","t1"]</w:t>
            </w:r>
          </w:p>
        </w:tc>
      </w:tr>
    </w:tbl>
    <w:p>
      <w:pPr>
        <w:pStyle w:val="BodyText"/>
      </w:pPr>
      <w:r>
        <w:t xml:space="preserve">No records supplied in these categories: relations, control, intentions, roles, realizers, representation, truth, access, warrant, knowledge, capacity, selection, absence, constituents, dependence. Missing records mean “not supplied in this display,” rather than universal nonexistence.</w:t>
      </w:r>
    </w:p>
    <w:bookmarkEnd w:id="143"/>
    <w:bookmarkEnd w:id="144"/>
    <w:bookmarkEnd w:id="145"/>
    <w:bookmarkStart w:id="153" w:name="only-the-observer-changes"/>
    <w:p>
      <w:pPr>
        <w:pStyle w:val="Heading4"/>
      </w:pPr>
      <w:r>
        <w:t xml:space="preserve">1.2. Only the observer changes</w:t>
      </w:r>
    </w:p>
    <w:p>
      <w:pPr>
        <w:pStyle w:val="FirstParagraph"/>
      </w:pPr>
      <w:r>
        <w:t xml:space="preserve">Status: finite example</w:t>
      </w:r>
    </w:p>
    <w:p>
      <w:pPr>
        <w:pStyle w:val="BodyText"/>
      </w:pPr>
      <w:r>
        <w:t xml:space="preserve">A Cambridge change does not supply authorship.</w:t>
      </w:r>
    </w:p>
    <w:bookmarkStart w:id="146" w:name="what-differs-in-this-example-1"/>
    <w:p>
      <w:pPr>
        <w:pStyle w:val="Heading5"/>
      </w:pPr>
      <w:r>
        <w:t xml:space="preserve">What differs in this example</w:t>
      </w:r>
    </w:p>
    <w:p>
      <w:pPr>
        <w:pStyle w:val="Compact"/>
        <w:numPr>
          <w:ilvl w:val="0"/>
          <w:numId w:val="1004"/>
        </w:numPr>
      </w:pPr>
      <w:r>
        <w:t xml:space="preserve">Observer position</w:t>
      </w:r>
    </w:p>
    <w:p>
      <w:pPr>
        <w:pStyle w:val="Compact"/>
        <w:numPr>
          <w:ilvl w:val="0"/>
          <w:numId w:val="1004"/>
        </w:numPr>
      </w:pPr>
      <w:r>
        <w:t xml:space="preserve">A relative description</w:t>
      </w:r>
    </w:p>
    <w:bookmarkEnd w:id="146"/>
    <w:bookmarkStart w:id="147" w:name="checks-against-the-assigned-records-1"/>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provider-stable</w:t>
            </w:r>
          </w:p>
        </w:tc>
        <w:tc>
          <w:tcPr>
            <w:tcW w:type="dxa" w:w="2749"/>
          </w:tcPr>
          <w:p>
            <w:pPr>
              <w:pStyle w:val="BodyText"/>
              <w:keepNext w:val="0"/>
              <w:spacing w:after="80" w:line="252" w:lineRule="auto"/>
              <w:jc w:val="left"/>
            </w:pPr>
            <w:r>
              <w:rPr>
                <w:rFonts w:ascii="Calibri" w:hAnsi="Calibri"/>
                <w:sz w:val="17"/>
              </w:rPr>
              <w:t xml:space="preserve">The recorded radiant power is stable</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This compares one measured respect, not every intrinsic property of a finite lamp.</w:t>
            </w:r>
          </w:p>
        </w:tc>
      </w:tr>
      <w:tr>
        <w:tc>
          <w:tcPr>
            <w:tcW w:type="dxa" w:w="1689"/>
          </w:tcPr>
          <w:p>
            <w:pPr>
              <w:pStyle w:val="BodyText"/>
              <w:keepNext w:val="0"/>
              <w:spacing w:after="80" w:line="252" w:lineRule="auto"/>
              <w:jc w:val="left"/>
            </w:pPr>
            <w:r>
              <w:rPr>
                <w:rFonts w:ascii="Calibri" w:hAnsi="Calibri"/>
                <w:sz w:val="17"/>
              </w:rPr>
              <w:t xml:space="preserve">reception</w:t>
            </w:r>
          </w:p>
        </w:tc>
        <w:tc>
          <w:tcPr>
            <w:tcW w:type="dxa" w:w="2749"/>
          </w:tcPr>
          <w:p>
            <w:pPr>
              <w:pStyle w:val="BodyText"/>
              <w:keepNext w:val="0"/>
              <w:spacing w:after="80" w:line="252" w:lineRule="auto"/>
              <w:jc w:val="left"/>
            </w:pPr>
            <w:r>
              <w:rPr>
                <w:rFonts w:ascii="Calibri" w:hAnsi="Calibri"/>
                <w:sz w:val="17"/>
              </w:rPr>
              <w:t xml:space="preserve">Different reception is causally recorded</w:t>
            </w:r>
          </w:p>
        </w:tc>
        <w:tc>
          <w:tcPr>
            <w:tcW w:type="dxa" w:w="2749"/>
          </w:tcPr>
          <w:p>
            <w:pPr>
              <w:pStyle w:val="BodyText"/>
              <w:keepNext w:val="0"/>
              <w:spacing w:after="80" w:line="252" w:lineRule="auto"/>
              <w:jc w:val="left"/>
            </w:pPr>
            <w:r>
              <w:rPr>
                <w:rFonts w:ascii="Calibri" w:hAnsi="Calibri"/>
                <w:sz w:val="17"/>
              </w:rPr>
              <w:t xml:space="preserve">Not supplied</w:t>
            </w:r>
          </w:p>
        </w:tc>
        <w:tc>
          <w:tcPr>
            <w:tcW w:type="dxa" w:w="2749"/>
          </w:tcPr>
          <w:p>
            <w:pPr>
              <w:pStyle w:val="BodyText"/>
              <w:keepNext w:val="0"/>
              <w:spacing w:after="80" w:line="252" w:lineRule="auto"/>
              <w:jc w:val="left"/>
            </w:pPr>
            <w:r>
              <w:rPr>
                <w:rFonts w:ascii="Calibri" w:hAnsi="Calibri"/>
                <w:sz w:val="17"/>
              </w:rPr>
              <w:t xml:space="preserve">Changing received light requires recipient differences and recorded illumination; a relative description alone is insufficient.</w:t>
            </w:r>
          </w:p>
        </w:tc>
      </w:tr>
    </w:tbl>
    <w:bookmarkEnd w:id="147"/>
    <w:bookmarkStart w:id="148" w:name="what-the-assigned-facts-support-1"/>
    <w:p>
      <w:pPr>
        <w:pStyle w:val="Heading5"/>
      </w:pPr>
      <w:r>
        <w:t xml:space="preserve">What the assigned facts support</w:t>
      </w:r>
    </w:p>
    <w:p>
      <w:pPr>
        <w:pStyle w:val="Compact"/>
        <w:numPr>
          <w:ilvl w:val="0"/>
          <w:numId w:val="1005"/>
        </w:numPr>
      </w:pPr>
      <w:r>
        <w:t xml:space="preserve">A changed relative description need not establish any act by the thing described.</w:t>
      </w:r>
    </w:p>
    <w:bookmarkEnd w:id="148"/>
    <w:bookmarkStart w:id="149" w:name="what-they-do-not-establish-1"/>
    <w:p>
      <w:pPr>
        <w:pStyle w:val="Heading5"/>
      </w:pPr>
      <w:r>
        <w:t xml:space="preserve">What they do not establish</w:t>
      </w:r>
    </w:p>
    <w:p>
      <w:pPr>
        <w:pStyle w:val="Compact"/>
        <w:numPr>
          <w:ilvl w:val="0"/>
          <w:numId w:val="1006"/>
        </w:numPr>
      </w:pPr>
      <w:r>
        <w:t xml:space="preserve">No inference to an absolutely invariant source, divine simplicity, or intentional authorship follows.</w:t>
      </w:r>
    </w:p>
    <w:bookmarkEnd w:id="149"/>
    <w:bookmarkStart w:id="152" w:name="assigned-facts-1"/>
    <w:p>
      <w:pPr>
        <w:pStyle w:val="Heading5"/>
      </w:pPr>
      <w:r>
        <w:t xml:space="preserve">Assigned facts</w:t>
      </w:r>
    </w:p>
    <w:bookmarkStart w:id="150" w:name="intrinsic-4-assigned-records"/>
    <w:p>
      <w:pPr>
        <w:pStyle w:val="Heading6"/>
      </w:pPr>
      <w:r>
        <w:t xml:space="preserve">intrinsic — 4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["lamp","radiant-power","steady","t0"]</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["lamp","radiant-power","steady","t1"]</w:t>
            </w:r>
          </w:p>
        </w:tc>
      </w:tr>
      <w:tr>
        <w:tc>
          <w:tcPr>
            <w:tcW w:type="dxa" w:w="2484"/>
          </w:tcPr>
          <w:p>
            <w:pPr>
              <w:pStyle w:val="BodyText"/>
              <w:keepNext w:val="0"/>
              <w:spacing w:after="80" w:line="252" w:lineRule="auto"/>
              <w:jc w:val="left"/>
            </w:pPr>
            <w:r>
              <w:rPr>
                <w:rFonts w:ascii="Calibri" w:hAnsi="Calibri"/>
                <w:sz w:val="17"/>
              </w:rPr>
              <w:t xml:space="preserve">3</w:t>
            </w:r>
          </w:p>
        </w:tc>
        <w:tc>
          <w:tcPr>
            <w:tcW w:type="dxa" w:w="7452"/>
          </w:tcPr>
          <w:p>
            <w:pPr>
              <w:pStyle w:val="BodyText"/>
              <w:keepNext w:val="0"/>
              <w:spacing w:after="80" w:line="252" w:lineRule="auto"/>
              <w:jc w:val="left"/>
            </w:pPr>
            <w:r>
              <w:rPr>
                <w:rFonts w:ascii="Calibri" w:hAnsi="Calibri"/>
                <w:sz w:val="17"/>
              </w:rPr>
              <w:t xml:space="preserve">["observer","position","near","t0"]</w:t>
            </w:r>
          </w:p>
        </w:tc>
      </w:tr>
      <w:tr>
        <w:tc>
          <w:tcPr>
            <w:tcW w:type="dxa" w:w="2484"/>
          </w:tcPr>
          <w:p>
            <w:pPr>
              <w:pStyle w:val="BodyText"/>
              <w:keepNext w:val="0"/>
              <w:spacing w:after="80" w:line="252" w:lineRule="auto"/>
              <w:jc w:val="left"/>
            </w:pPr>
            <w:r>
              <w:rPr>
                <w:rFonts w:ascii="Calibri" w:hAnsi="Calibri"/>
                <w:sz w:val="17"/>
              </w:rPr>
              <w:t xml:space="preserve">4</w:t>
            </w:r>
          </w:p>
        </w:tc>
        <w:tc>
          <w:tcPr>
            <w:tcW w:type="dxa" w:w="7452"/>
          </w:tcPr>
          <w:p>
            <w:pPr>
              <w:pStyle w:val="BodyText"/>
              <w:keepNext w:val="0"/>
              <w:spacing w:after="80" w:line="252" w:lineRule="auto"/>
              <w:jc w:val="left"/>
            </w:pPr>
            <w:r>
              <w:rPr>
                <w:rFonts w:ascii="Calibri" w:hAnsi="Calibri"/>
                <w:sz w:val="17"/>
              </w:rPr>
              <w:t xml:space="preserve">["observer","position","far","t1"]</w:t>
            </w:r>
          </w:p>
        </w:tc>
      </w:tr>
    </w:tbl>
    <w:bookmarkEnd w:id="150"/>
    <w:bookmarkStart w:id="151" w:name="relations-2-assigned-records"/>
    <w:p>
      <w:pPr>
        <w:pStyle w:val="Heading6"/>
      </w:pPr>
      <w:r>
        <w:t xml:space="preserve">relations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["lamp","relative-to-observer","near","t0"]</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["lamp","relative-to-observer","far","t1"]</w:t>
            </w:r>
          </w:p>
        </w:tc>
      </w:tr>
    </w:tbl>
    <w:p>
      <w:pPr>
        <w:pStyle w:val="BodyText"/>
      </w:pPr>
      <w:r>
        <w:t xml:space="preserve">No records supplied in these categories: acts, control, intentions, roles, realizers, representation, truth, access, warrant, knowledge, capacity, selection, absence, constituents, dependence. Missing records mean “not supplied in this display,” rather than universal nonexistence.</w:t>
      </w:r>
    </w:p>
    <w:bookmarkEnd w:id="151"/>
    <w:bookmarkEnd w:id="152"/>
    <w:bookmarkEnd w:id="153"/>
    <w:bookmarkEnd w:id="154"/>
    <w:bookmarkStart w:id="172" w:name="one-gift-different-intended-goods"/>
    <w:p>
      <w:pPr>
        <w:pStyle w:val="Heading3"/>
      </w:pPr>
      <w:r>
        <w:t xml:space="preserve">2. One gift, different intended goods</w:t>
      </w:r>
    </w:p>
    <w:p>
      <w:pPr>
        <w:pStyle w:val="FirstParagraph"/>
      </w:pPr>
      <w:r>
        <w:t xml:space="preserve">Does the physical outcome tell us everything about the intention?</w:t>
      </w:r>
    </w:p>
    <w:p>
      <w:pPr>
        <w:pStyle w:val="BodyText"/>
      </w:pPr>
      <w:r>
        <w:t xml:space="preserve">The same blanket can be given to relieve cold or to recognize a person’s dignity. Intention and control must be recorded separately from the benefit.</w:t>
      </w:r>
    </w:p>
    <w:bookmarkStart w:id="163" w:name="Xf46ed1407e9f9ccee7d09bfec6f753444fcde6c"/>
    <w:p>
      <w:pPr>
        <w:pStyle w:val="Heading4"/>
      </w:pPr>
      <w:r>
        <w:t xml:space="preserve">2.1. Two controlled, differently intended gifts</w:t>
      </w:r>
    </w:p>
    <w:p>
      <w:pPr>
        <w:pStyle w:val="FirstParagraph"/>
      </w:pPr>
      <w:r>
        <w:t xml:space="preserve">Status: finite example</w:t>
      </w:r>
    </w:p>
    <w:p>
      <w:pPr>
        <w:pStyle w:val="BodyText"/>
      </w:pPr>
      <w:r>
        <w:t xml:space="preserve">Same effect; genuinely different intended goods.</w:t>
      </w:r>
    </w:p>
    <w:bookmarkStart w:id="155" w:name="what-differs-in-this-example-2"/>
    <w:p>
      <w:pPr>
        <w:pStyle w:val="Heading5"/>
      </w:pPr>
      <w:r>
        <w:t xml:space="preserve">What differs in this example</w:t>
      </w:r>
    </w:p>
    <w:p>
      <w:pPr>
        <w:pStyle w:val="Compact"/>
        <w:numPr>
          <w:ilvl w:val="0"/>
          <w:numId w:val="1007"/>
        </w:numPr>
      </w:pPr>
      <w:r>
        <w:t xml:space="preserve">Intentional direction</w:t>
      </w:r>
    </w:p>
    <w:p>
      <w:pPr>
        <w:pStyle w:val="Compact"/>
        <w:numPr>
          <w:ilvl w:val="0"/>
          <w:numId w:val="1007"/>
        </w:numPr>
      </w:pPr>
      <w:r>
        <w:t xml:space="preserve">Controlled action</w:t>
      </w:r>
    </w:p>
    <w:bookmarkEnd w:id="155"/>
    <w:bookmarkStart w:id="156" w:name="checks-against-the-assigned-records-2"/>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same-effect</w:t>
            </w:r>
          </w:p>
        </w:tc>
        <w:tc>
          <w:tcPr>
            <w:tcW w:type="dxa" w:w="2749"/>
          </w:tcPr>
          <w:p>
            <w:pPr>
              <w:pStyle w:val="BodyText"/>
              <w:keepNext w:val="0"/>
              <w:spacing w:after="80" w:line="252" w:lineRule="auto"/>
              <w:jc w:val="left"/>
            </w:pPr>
            <w:r>
              <w:rPr>
                <w:rFonts w:ascii="Calibri" w:hAnsi="Calibri"/>
                <w:sz w:val="17"/>
              </w:rPr>
              <w:t xml:space="preserve">The physical gift outcome is the same</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The comparison concerns the same recorded outcome, not numerical identity of the acts.</w:t>
            </w:r>
          </w:p>
        </w:tc>
      </w:tr>
      <w:tr>
        <w:tc>
          <w:tcPr>
            <w:tcW w:type="dxa" w:w="1689"/>
          </w:tcPr>
          <w:p>
            <w:pPr>
              <w:pStyle w:val="BodyText"/>
              <w:keepNext w:val="0"/>
              <w:spacing w:after="80" w:line="252" w:lineRule="auto"/>
              <w:jc w:val="left"/>
            </w:pPr>
            <w:r>
              <w:rPr>
                <w:rFonts w:ascii="Calibri" w:hAnsi="Calibri"/>
                <w:sz w:val="17"/>
              </w:rPr>
              <w:t xml:space="preserve">intentional-direction</w:t>
            </w:r>
          </w:p>
        </w:tc>
        <w:tc>
          <w:tcPr>
            <w:tcW w:type="dxa" w:w="2749"/>
          </w:tcPr>
          <w:p>
            <w:pPr>
              <w:pStyle w:val="BodyText"/>
              <w:keepNext w:val="0"/>
              <w:spacing w:after="80" w:line="252" w:lineRule="auto"/>
              <w:jc w:val="left"/>
            </w:pPr>
            <w:r>
              <w:rPr>
                <w:rFonts w:ascii="Calibri" w:hAnsi="Calibri"/>
                <w:sz w:val="17"/>
              </w:rPr>
              <w:t xml:space="preserve">Different intentions have recorded control</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Both intention and control are recorded separately from the physical effect.</w:t>
            </w:r>
          </w:p>
        </w:tc>
      </w:tr>
    </w:tbl>
    <w:bookmarkEnd w:id="156"/>
    <w:bookmarkStart w:id="157" w:name="what-the-assigned-facts-support-2"/>
    <w:p>
      <w:pPr>
        <w:pStyle w:val="Heading5"/>
      </w:pPr>
      <w:r>
        <w:t xml:space="preserve">What the assigned facts support</w:t>
      </w:r>
    </w:p>
    <w:p>
      <w:pPr>
        <w:pStyle w:val="Compact"/>
        <w:numPr>
          <w:ilvl w:val="0"/>
          <w:numId w:val="1008"/>
        </w:numPr>
      </w:pPr>
      <w:r>
        <w:t xml:space="preserve">The complete intentional description is not fixed by the physical outcome alone.</w:t>
      </w:r>
    </w:p>
    <w:bookmarkEnd w:id="157"/>
    <w:bookmarkStart w:id="158" w:name="what-they-do-not-establish-2"/>
    <w:p>
      <w:pPr>
        <w:pStyle w:val="Heading5"/>
      </w:pPr>
      <w:r>
        <w:t xml:space="preserve">What they do not establish</w:t>
      </w:r>
    </w:p>
    <w:p>
      <w:pPr>
        <w:pStyle w:val="Compact"/>
        <w:numPr>
          <w:ilvl w:val="0"/>
          <w:numId w:val="1009"/>
        </w:numPr>
      </w:pPr>
      <w:r>
        <w:t xml:space="preserve">These finite cases do not decide whether divine intentional differences are intrinsic or relational.</w:t>
      </w:r>
    </w:p>
    <w:p>
      <w:pPr>
        <w:pStyle w:val="Compact"/>
        <w:numPr>
          <w:ilvl w:val="0"/>
          <w:numId w:val="1009"/>
        </w:numPr>
      </w:pPr>
      <w:r>
        <w:t xml:space="preserve">An intention’s presence does not by itself establish its moral adequacy.</w:t>
      </w:r>
    </w:p>
    <w:bookmarkEnd w:id="158"/>
    <w:bookmarkStart w:id="162" w:name="assigned-facts-2"/>
    <w:p>
      <w:pPr>
        <w:pStyle w:val="Heading5"/>
      </w:pPr>
      <w:r>
        <w:t xml:space="preserve">Assigned facts</w:t>
      </w:r>
    </w:p>
    <w:bookmarkStart w:id="159" w:name="acts-2-assigned-records-1"/>
    <w:p>
      <w:pPr>
        <w:pStyle w:val="Heading6"/>
      </w:pPr>
      <w:r>
        <w:t xml:space="preserve">acts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["friend","gift-care","blanket-delivered","t0"]</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["friend","gift-recognition","blanket-delivered","t1"]</w:t>
            </w:r>
          </w:p>
        </w:tc>
      </w:tr>
    </w:tbl>
    <w:bookmarkEnd w:id="159"/>
    <w:bookmarkStart w:id="160" w:name="control-2-assigned-records"/>
    <w:p>
      <w:pPr>
        <w:pStyle w:val="Heading6"/>
      </w:pPr>
      <w:r>
        <w:t xml:space="preserve">control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["friend","gift-care","t0"]</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["friend","gift-recognition","t1"]</w:t>
            </w:r>
          </w:p>
        </w:tc>
      </w:tr>
    </w:tbl>
    <w:bookmarkEnd w:id="160"/>
    <w:bookmarkStart w:id="161" w:name="intentions-2-assigned-records"/>
    <w:p>
      <w:pPr>
        <w:pStyle w:val="Heading6"/>
      </w:pPr>
      <w:r>
        <w:t xml:space="preserve">intentions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["friend","gift-care","relieve-cold","t0"]</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["friend","gift-recognition","acknowledge-dignity","t1"]</w:t>
            </w:r>
          </w:p>
        </w:tc>
      </w:tr>
    </w:tbl>
    <w:p>
      <w:pPr>
        <w:pStyle w:val="BodyText"/>
      </w:pPr>
      <w:r>
        <w:t xml:space="preserve">No records supplied in these categories: intrinsic, relations, roles, realizers, representation, truth, access, warrant, knowledge, capacity, selection, absence, constituents, dependence. Missing records mean “not supplied in this display,” rather than universal nonexistence.</w:t>
      </w:r>
    </w:p>
    <w:bookmarkEnd w:id="161"/>
    <w:bookmarkEnd w:id="162"/>
    <w:bookmarkEnd w:id="163"/>
    <w:bookmarkStart w:id="171" w:name="a-benefit-arrives-accidentally"/>
    <w:p>
      <w:pPr>
        <w:pStyle w:val="Heading4"/>
      </w:pPr>
      <w:r>
        <w:t xml:space="preserve">2.2. A benefit arrives accidentally</w:t>
      </w:r>
    </w:p>
    <w:p>
      <w:pPr>
        <w:pStyle w:val="FirstParagraph"/>
      </w:pPr>
      <w:r>
        <w:t xml:space="preserve">Status: finite example</w:t>
      </w:r>
    </w:p>
    <w:p>
      <w:pPr>
        <w:pStyle w:val="BodyText"/>
      </w:pPr>
      <w:r>
        <w:t xml:space="preserve">Benefit is not sufficient evidence of authorship.</w:t>
      </w:r>
    </w:p>
    <w:bookmarkStart w:id="164" w:name="what-differs-in-this-example-3"/>
    <w:p>
      <w:pPr>
        <w:pStyle w:val="Heading5"/>
      </w:pPr>
      <w:r>
        <w:t xml:space="preserve">What differs in this example</w:t>
      </w:r>
    </w:p>
    <w:p>
      <w:pPr>
        <w:pStyle w:val="Compact"/>
        <w:numPr>
          <w:ilvl w:val="0"/>
          <w:numId w:val="1010"/>
        </w:numPr>
      </w:pPr>
      <w:r>
        <w:t xml:space="preserve">Recipient benefit without recorded intentional authorship</w:t>
      </w:r>
    </w:p>
    <w:bookmarkEnd w:id="164"/>
    <w:bookmarkStart w:id="165" w:name="checks-against-the-assigned-records-3"/>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same-effect</w:t>
            </w:r>
          </w:p>
        </w:tc>
        <w:tc>
          <w:tcPr>
            <w:tcW w:type="dxa" w:w="2749"/>
          </w:tcPr>
          <w:p>
            <w:pPr>
              <w:pStyle w:val="BodyText"/>
              <w:keepNext w:val="0"/>
              <w:spacing w:after="80" w:line="252" w:lineRule="auto"/>
              <w:jc w:val="left"/>
            </w:pPr>
            <w:r>
              <w:rPr>
                <w:rFonts w:ascii="Calibri" w:hAnsi="Calibri"/>
                <w:sz w:val="17"/>
              </w:rPr>
              <w:t xml:space="preserve">The physical gift outcome is the same</w:t>
            </w:r>
          </w:p>
        </w:tc>
        <w:tc>
          <w:tcPr>
            <w:tcW w:type="dxa" w:w="2749"/>
          </w:tcPr>
          <w:p>
            <w:pPr>
              <w:pStyle w:val="BodyText"/>
              <w:keepNext w:val="0"/>
              <w:spacing w:after="80" w:line="252" w:lineRule="auto"/>
              <w:jc w:val="left"/>
            </w:pPr>
            <w:r>
              <w:rPr>
                <w:rFonts w:ascii="Calibri" w:hAnsi="Calibri"/>
                <w:sz w:val="17"/>
              </w:rPr>
              <w:t xml:space="preserve">Not supplied</w:t>
            </w:r>
          </w:p>
        </w:tc>
        <w:tc>
          <w:tcPr>
            <w:tcW w:type="dxa" w:w="2749"/>
          </w:tcPr>
          <w:p>
            <w:pPr>
              <w:pStyle w:val="BodyText"/>
              <w:keepNext w:val="0"/>
              <w:spacing w:after="80" w:line="252" w:lineRule="auto"/>
              <w:jc w:val="left"/>
            </w:pPr>
            <w:r>
              <w:rPr>
                <w:rFonts w:ascii="Calibri" w:hAnsi="Calibri"/>
                <w:sz w:val="17"/>
              </w:rPr>
              <w:t xml:space="preserve">The comparison concerns the same recorded outcome, not numerical identity of the acts.</w:t>
            </w:r>
          </w:p>
        </w:tc>
      </w:tr>
      <w:tr>
        <w:tc>
          <w:tcPr>
            <w:tcW w:type="dxa" w:w="1689"/>
          </w:tcPr>
          <w:p>
            <w:pPr>
              <w:pStyle w:val="BodyText"/>
              <w:keepNext w:val="0"/>
              <w:spacing w:after="80" w:line="252" w:lineRule="auto"/>
              <w:jc w:val="left"/>
            </w:pPr>
            <w:r>
              <w:rPr>
                <w:rFonts w:ascii="Calibri" w:hAnsi="Calibri"/>
                <w:sz w:val="17"/>
              </w:rPr>
              <w:t xml:space="preserve">intentional-direction</w:t>
            </w:r>
          </w:p>
        </w:tc>
        <w:tc>
          <w:tcPr>
            <w:tcW w:type="dxa" w:w="2749"/>
          </w:tcPr>
          <w:p>
            <w:pPr>
              <w:pStyle w:val="BodyText"/>
              <w:keepNext w:val="0"/>
              <w:spacing w:after="80" w:line="252" w:lineRule="auto"/>
              <w:jc w:val="left"/>
            </w:pPr>
            <w:r>
              <w:rPr>
                <w:rFonts w:ascii="Calibri" w:hAnsi="Calibri"/>
                <w:sz w:val="17"/>
              </w:rPr>
              <w:t xml:space="preserve">Different intentions have recorded control</w:t>
            </w:r>
          </w:p>
        </w:tc>
        <w:tc>
          <w:tcPr>
            <w:tcW w:type="dxa" w:w="2749"/>
          </w:tcPr>
          <w:p>
            <w:pPr>
              <w:pStyle w:val="BodyText"/>
              <w:keepNext w:val="0"/>
              <w:spacing w:after="80" w:line="252" w:lineRule="auto"/>
              <w:jc w:val="left"/>
            </w:pPr>
            <w:r>
              <w:rPr>
                <w:rFonts w:ascii="Calibri" w:hAnsi="Calibri"/>
                <w:sz w:val="17"/>
              </w:rPr>
              <w:t xml:space="preserve">Not supplied</w:t>
            </w:r>
          </w:p>
        </w:tc>
        <w:tc>
          <w:tcPr>
            <w:tcW w:type="dxa" w:w="2749"/>
          </w:tcPr>
          <w:p>
            <w:pPr>
              <w:pStyle w:val="BodyText"/>
              <w:keepNext w:val="0"/>
              <w:spacing w:after="80" w:line="252" w:lineRule="auto"/>
              <w:jc w:val="left"/>
            </w:pPr>
            <w:r>
              <w:rPr>
                <w:rFonts w:ascii="Calibri" w:hAnsi="Calibri"/>
                <w:sz w:val="17"/>
              </w:rPr>
              <w:t xml:space="preserve">Both intention and control are recorded separately from the physical effect.</w:t>
            </w:r>
          </w:p>
        </w:tc>
      </w:tr>
    </w:tbl>
    <w:bookmarkEnd w:id="165"/>
    <w:bookmarkStart w:id="166" w:name="what-the-assigned-facts-support-3"/>
    <w:p>
      <w:pPr>
        <w:pStyle w:val="Heading5"/>
      </w:pPr>
      <w:r>
        <w:t xml:space="preserve">What the assigned facts support</w:t>
      </w:r>
    </w:p>
    <w:p>
      <w:pPr>
        <w:pStyle w:val="Compact"/>
        <w:numPr>
          <w:ilvl w:val="0"/>
          <w:numId w:val="1011"/>
        </w:numPr>
      </w:pPr>
      <w:r>
        <w:t xml:space="preserve">A real benefit does not by itself establish an intentional gift.</w:t>
      </w:r>
    </w:p>
    <w:bookmarkEnd w:id="166"/>
    <w:bookmarkStart w:id="167" w:name="what-they-do-not-establish-3"/>
    <w:p>
      <w:pPr>
        <w:pStyle w:val="Heading5"/>
      </w:pPr>
      <w:r>
        <w:t xml:space="preserve">What they do not establish</w:t>
      </w:r>
    </w:p>
    <w:p>
      <w:pPr>
        <w:pStyle w:val="Compact"/>
        <w:numPr>
          <w:ilvl w:val="0"/>
          <w:numId w:val="1012"/>
        </w:numPr>
      </w:pPr>
      <w:r>
        <w:t xml:space="preserve">These finite cases do not decide whether divine intentional differences are intrinsic or relational.</w:t>
      </w:r>
    </w:p>
    <w:p>
      <w:pPr>
        <w:pStyle w:val="Compact"/>
        <w:numPr>
          <w:ilvl w:val="0"/>
          <w:numId w:val="1012"/>
        </w:numPr>
      </w:pPr>
      <w:r>
        <w:t xml:space="preserve">An intention’s presence does not by itself establish its moral adequacy.</w:t>
      </w:r>
    </w:p>
    <w:bookmarkEnd w:id="167"/>
    <w:bookmarkStart w:id="170" w:name="assigned-facts-3"/>
    <w:p>
      <w:pPr>
        <w:pStyle w:val="Heading5"/>
      </w:pPr>
      <w:r>
        <w:t xml:space="preserve">Assigned facts</w:t>
      </w:r>
    </w:p>
    <w:bookmarkStart w:id="168" w:name="intrinsic-1-assigned-record"/>
    <w:p>
      <w:pPr>
        <w:pStyle w:val="Heading6"/>
      </w:pPr>
      <w:r>
        <w:t xml:space="preserve">intrinsic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["recipient","warmth","increased","t0"]</w:t>
            </w:r>
          </w:p>
        </w:tc>
      </w:tr>
    </w:tbl>
    <w:bookmarkEnd w:id="168"/>
    <w:bookmarkStart w:id="169" w:name="acts-1-assigned-record"/>
    <w:p>
      <w:pPr>
        <w:pStyle w:val="Heading6"/>
      </w:pPr>
      <w:r>
        <w:t xml:space="preserve">acts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["wind","accidental-arrival","blanket-delivered","t0"]</w:t>
            </w:r>
          </w:p>
        </w:tc>
      </w:tr>
    </w:tbl>
    <w:p>
      <w:pPr>
        <w:pStyle w:val="BodyText"/>
      </w:pPr>
      <w:r>
        <w:t xml:space="preserve">No records supplied in these categories: relations, control, intentions, roles, realizers, representation, truth, access, warrant, knowledge, capacity, selection, absence, constituents, dependence. Missing records mean “not supplied in this display,” rather than universal nonexistence.</w:t>
      </w:r>
    </w:p>
    <w:bookmarkEnd w:id="169"/>
    <w:bookmarkEnd w:id="170"/>
    <w:bookmarkEnd w:id="171"/>
    <w:bookmarkEnd w:id="172"/>
    <w:bookmarkStart w:id="196" w:name="X0eed1baf1ad86f587c0455853d2677ed5ae2027"/>
    <w:p>
      <w:pPr>
        <w:pStyle w:val="Heading3"/>
      </w:pPr>
      <w:r>
        <w:t xml:space="preserve">3. Different descriptions, different realities?</w:t>
      </w:r>
    </w:p>
    <w:p>
      <w:pPr>
        <w:pStyle w:val="FirstParagraph"/>
      </w:pPr>
      <w:r>
        <w:t xml:space="preserve">Do two explanatory roles prove two intrinsic constituents?</w:t>
      </w:r>
    </w:p>
    <w:p>
      <w:pPr>
        <w:pStyle w:val="BodyText"/>
      </w:pPr>
      <w:r>
        <w:t xml:space="preserve">Understanding and willing are different descriptions. Knowing what realizes those roles requires additional facts; counting words does not settle what exists.</w:t>
      </w:r>
    </w:p>
    <w:bookmarkStart w:id="179" w:name="role-descriptions-only"/>
    <w:p>
      <w:pPr>
        <w:pStyle w:val="Heading4"/>
      </w:pPr>
      <w:r>
        <w:t xml:space="preserve">3.1. Role descriptions only</w:t>
      </w:r>
    </w:p>
    <w:p>
      <w:pPr>
        <w:pStyle w:val="FirstParagraph"/>
      </w:pPr>
      <w:r>
        <w:t xml:space="preserve">Status: finite example</w:t>
      </w:r>
    </w:p>
    <w:p>
      <w:pPr>
        <w:pStyle w:val="BodyText"/>
      </w:pPr>
      <w:r>
        <w:t xml:space="preserve">A difference of descriptions is not yet a count of constituents.</w:t>
      </w:r>
    </w:p>
    <w:bookmarkStart w:id="173" w:name="what-differs-in-this-example-4"/>
    <w:p>
      <w:pPr>
        <w:pStyle w:val="Heading5"/>
      </w:pPr>
      <w:r>
        <w:t xml:space="preserve">What differs in this example</w:t>
      </w:r>
    </w:p>
    <w:p>
      <w:pPr>
        <w:pStyle w:val="Compact"/>
        <w:numPr>
          <w:ilvl w:val="0"/>
          <w:numId w:val="1013"/>
        </w:numPr>
      </w:pPr>
      <w:r>
        <w:t xml:space="preserve">Distinct explanatory roles</w:t>
      </w:r>
    </w:p>
    <w:p>
      <w:pPr>
        <w:pStyle w:val="Compact"/>
        <w:numPr>
          <w:ilvl w:val="0"/>
          <w:numId w:val="1013"/>
        </w:numPr>
      </w:pPr>
      <w:r>
        <w:t xml:space="preserve">Realizer count remains unspecified</w:t>
      </w:r>
    </w:p>
    <w:bookmarkEnd w:id="173"/>
    <w:bookmarkStart w:id="174" w:name="checks-against-the-assigned-records-4"/>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roles-distinct</w:t>
            </w:r>
          </w:p>
        </w:tc>
        <w:tc>
          <w:tcPr>
            <w:tcW w:type="dxa" w:w="2749"/>
          </w:tcPr>
          <w:p>
            <w:pPr>
              <w:pStyle w:val="BodyText"/>
              <w:keepNext w:val="0"/>
              <w:spacing w:after="80" w:line="252" w:lineRule="auto"/>
              <w:jc w:val="left"/>
            </w:pPr>
            <w:r>
              <w:rPr>
                <w:rFonts w:ascii="Calibri" w:hAnsi="Calibri"/>
                <w:sz w:val="17"/>
              </w:rPr>
              <w:t xml:space="preserve">Two roles are described</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The descriptions differ before facts establish what realizes those roles.</w:t>
            </w:r>
          </w:p>
        </w:tc>
      </w:tr>
      <w:tr>
        <w:tc>
          <w:tcPr>
            <w:tcW w:type="dxa" w:w="1689"/>
          </w:tcPr>
          <w:p>
            <w:pPr>
              <w:pStyle w:val="BodyText"/>
              <w:keepNext w:val="0"/>
              <w:spacing w:after="80" w:line="252" w:lineRule="auto"/>
              <w:jc w:val="left"/>
            </w:pPr>
            <w:r>
              <w:rPr>
                <w:rFonts w:ascii="Calibri" w:hAnsi="Calibri"/>
                <w:sz w:val="17"/>
              </w:rPr>
              <w:t xml:space="preserve">realizers-supplied</w:t>
            </w:r>
          </w:p>
        </w:tc>
        <w:tc>
          <w:tcPr>
            <w:tcW w:type="dxa" w:w="2749"/>
          </w:tcPr>
          <w:p>
            <w:pPr>
              <w:pStyle w:val="BodyText"/>
              <w:keepNext w:val="0"/>
              <w:spacing w:after="80" w:line="252" w:lineRule="auto"/>
              <w:jc w:val="left"/>
            </w:pPr>
            <w:r>
              <w:rPr>
                <w:rFonts w:ascii="Calibri" w:hAnsi="Calibri"/>
                <w:sz w:val="17"/>
              </w:rPr>
              <w:t xml:space="preserve">What realizes each role is separately assigned</w:t>
            </w:r>
          </w:p>
        </w:tc>
        <w:tc>
          <w:tcPr>
            <w:tcW w:type="dxa" w:w="2749"/>
          </w:tcPr>
          <w:p>
            <w:pPr>
              <w:pStyle w:val="BodyText"/>
              <w:keepNext w:val="0"/>
              <w:spacing w:after="80" w:line="252" w:lineRule="auto"/>
              <w:jc w:val="left"/>
            </w:pPr>
            <w:r>
              <w:rPr>
                <w:rFonts w:ascii="Calibri" w:hAnsi="Calibri"/>
                <w:sz w:val="17"/>
              </w:rPr>
              <w:t xml:space="preserve">Not supplied</w:t>
            </w:r>
          </w:p>
        </w:tc>
        <w:tc>
          <w:tcPr>
            <w:tcW w:type="dxa" w:w="2749"/>
          </w:tcPr>
          <w:p>
            <w:pPr>
              <w:pStyle w:val="BodyText"/>
              <w:keepNext w:val="0"/>
              <w:spacing w:after="80" w:line="252" w:lineRule="auto"/>
              <w:jc w:val="left"/>
            </w:pPr>
            <w:r>
              <w:rPr>
                <w:rFonts w:ascii="Calibri" w:hAnsi="Calibri"/>
                <w:sz w:val="17"/>
              </w:rPr>
              <w:t xml:space="preserve">A realizer assignment is additional information, not a deduction from two names.</w:t>
            </w:r>
          </w:p>
        </w:tc>
      </w:tr>
    </w:tbl>
    <w:bookmarkEnd w:id="174"/>
    <w:bookmarkStart w:id="175" w:name="what-the-assigned-facts-support-4"/>
    <w:p>
      <w:pPr>
        <w:pStyle w:val="Heading5"/>
      </w:pPr>
      <w:r>
        <w:t xml:space="preserve">What the assigned facts support</w:t>
      </w:r>
    </w:p>
    <w:p>
      <w:pPr>
        <w:pStyle w:val="Compact"/>
        <w:numPr>
          <w:ilvl w:val="0"/>
          <w:numId w:val="1014"/>
        </w:numPr>
      </w:pPr>
      <w:r>
        <w:t xml:space="preserve">Two role descriptions alone leave the number of realizers undetermined.</w:t>
      </w:r>
    </w:p>
    <w:bookmarkEnd w:id="175"/>
    <w:bookmarkStart w:id="176" w:name="what-they-do-not-establish-4"/>
    <w:p>
      <w:pPr>
        <w:pStyle w:val="Heading5"/>
      </w:pPr>
      <w:r>
        <w:t xml:space="preserve">What they do not establish</w:t>
      </w:r>
    </w:p>
    <w:p>
      <w:pPr>
        <w:pStyle w:val="Compact"/>
        <w:numPr>
          <w:ilvl w:val="0"/>
          <w:numId w:val="1015"/>
        </w:numPr>
      </w:pPr>
      <w:r>
        <w:t xml:space="preserve">Neither one shared realizer nor two distinct realizers proves an account of constitutive dependence.</w:t>
      </w:r>
    </w:p>
    <w:p>
      <w:pPr>
        <w:pStyle w:val="Compact"/>
        <w:numPr>
          <w:ilvl w:val="0"/>
          <w:numId w:val="1015"/>
        </w:numPr>
      </w:pPr>
      <w:r>
        <w:t xml:space="preserve">A shared realizer does not establish full divine simplicity; distinct roles do not refute it.</w:t>
      </w:r>
    </w:p>
    <w:bookmarkEnd w:id="176"/>
    <w:bookmarkStart w:id="178" w:name="assigned-facts-4"/>
    <w:p>
      <w:pPr>
        <w:pStyle w:val="Heading5"/>
      </w:pPr>
      <w:r>
        <w:t xml:space="preserve">Assigned facts</w:t>
      </w:r>
    </w:p>
    <w:bookmarkStart w:id="177" w:name="roles-2-assigned-records"/>
    <w:p>
      <w:pPr>
        <w:pStyle w:val="Heading6"/>
      </w:pPr>
      <w:r>
        <w:t xml:space="preserve">roles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["agent","understanding","t0"]</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["agent","willing","t0"]</w:t>
            </w:r>
          </w:p>
        </w:tc>
      </w:tr>
    </w:tbl>
    <w:p>
      <w:pPr>
        <w:pStyle w:val="BodyText"/>
      </w:pPr>
      <w:r>
        <w:t xml:space="preserve">No records supplied in these categories: intrinsic, relations, acts, control, intentions, realizers, representation, truth, access, warrant, knowledge, capacity, selection, absence, constituents, dependence. Missing records mean “not supplied in this display,” rather than universal nonexistence.</w:t>
      </w:r>
    </w:p>
    <w:bookmarkEnd w:id="177"/>
    <w:bookmarkEnd w:id="178"/>
    <w:bookmarkEnd w:id="179"/>
    <w:bookmarkStart w:id="187" w:name="one-assigned-realizer"/>
    <w:p>
      <w:pPr>
        <w:pStyle w:val="Heading4"/>
      </w:pPr>
      <w:r>
        <w:t xml:space="preserve">3.2. One assigned realizer</w:t>
      </w:r>
    </w:p>
    <w:p>
      <w:pPr>
        <w:pStyle w:val="FirstParagraph"/>
      </w:pPr>
      <w:r>
        <w:t xml:space="preserve">Status: finite example</w:t>
      </w:r>
    </w:p>
    <w:p>
      <w:pPr>
        <w:pStyle w:val="BodyText"/>
      </w:pPr>
      <w:r>
        <w:t xml:space="preserve">Assignments say what exists; names alone do not.</w:t>
      </w:r>
    </w:p>
    <w:bookmarkStart w:id="180" w:name="what-differs-in-this-example-5"/>
    <w:p>
      <w:pPr>
        <w:pStyle w:val="Heading5"/>
      </w:pPr>
      <w:r>
        <w:t xml:space="preserve">What differs in this example</w:t>
      </w:r>
    </w:p>
    <w:p>
      <w:pPr>
        <w:pStyle w:val="Compact"/>
        <w:numPr>
          <w:ilvl w:val="0"/>
          <w:numId w:val="1016"/>
        </w:numPr>
      </w:pPr>
      <w:r>
        <w:t xml:space="preserve">1 stipulated realizer</w:t>
      </w:r>
    </w:p>
    <w:p>
      <w:pPr>
        <w:pStyle w:val="Compact"/>
        <w:numPr>
          <w:ilvl w:val="0"/>
          <w:numId w:val="1016"/>
        </w:numPr>
      </w:pPr>
      <w:r>
        <w:t xml:space="preserve">Distinct explanatory roles</w:t>
      </w:r>
    </w:p>
    <w:bookmarkEnd w:id="180"/>
    <w:bookmarkStart w:id="181" w:name="checks-against-the-assigned-records-5"/>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roles-distinct</w:t>
            </w:r>
          </w:p>
        </w:tc>
        <w:tc>
          <w:tcPr>
            <w:tcW w:type="dxa" w:w="2749"/>
          </w:tcPr>
          <w:p>
            <w:pPr>
              <w:pStyle w:val="BodyText"/>
              <w:keepNext w:val="0"/>
              <w:spacing w:after="80" w:line="252" w:lineRule="auto"/>
              <w:jc w:val="left"/>
            </w:pPr>
            <w:r>
              <w:rPr>
                <w:rFonts w:ascii="Calibri" w:hAnsi="Calibri"/>
                <w:sz w:val="17"/>
              </w:rPr>
              <w:t xml:space="preserve">Two roles are described</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The descriptions differ before facts establish what realizes those roles.</w:t>
            </w:r>
          </w:p>
        </w:tc>
      </w:tr>
      <w:tr>
        <w:tc>
          <w:tcPr>
            <w:tcW w:type="dxa" w:w="1689"/>
          </w:tcPr>
          <w:p>
            <w:pPr>
              <w:pStyle w:val="BodyText"/>
              <w:keepNext w:val="0"/>
              <w:spacing w:after="80" w:line="252" w:lineRule="auto"/>
              <w:jc w:val="left"/>
            </w:pPr>
            <w:r>
              <w:rPr>
                <w:rFonts w:ascii="Calibri" w:hAnsi="Calibri"/>
                <w:sz w:val="17"/>
              </w:rPr>
              <w:t xml:space="preserve">realizers-supplied</w:t>
            </w:r>
          </w:p>
        </w:tc>
        <w:tc>
          <w:tcPr>
            <w:tcW w:type="dxa" w:w="2749"/>
          </w:tcPr>
          <w:p>
            <w:pPr>
              <w:pStyle w:val="BodyText"/>
              <w:keepNext w:val="0"/>
              <w:spacing w:after="80" w:line="252" w:lineRule="auto"/>
              <w:jc w:val="left"/>
            </w:pPr>
            <w:r>
              <w:rPr>
                <w:rFonts w:ascii="Calibri" w:hAnsi="Calibri"/>
                <w:sz w:val="17"/>
              </w:rPr>
              <w:t xml:space="preserve">What realizes each role is separately assigned</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A realizer assignment is additional information, not a deduction from two names.</w:t>
            </w:r>
          </w:p>
        </w:tc>
      </w:tr>
    </w:tbl>
    <w:bookmarkEnd w:id="181"/>
    <w:bookmarkStart w:id="182" w:name="what-the-assigned-facts-support-5"/>
    <w:p>
      <w:pPr>
        <w:pStyle w:val="Heading5"/>
      </w:pPr>
      <w:r>
        <w:t xml:space="preserve">What the assigned facts support</w:t>
      </w:r>
    </w:p>
    <w:p>
      <w:pPr>
        <w:pStyle w:val="Compact"/>
        <w:numPr>
          <w:ilvl w:val="0"/>
          <w:numId w:val="1017"/>
        </w:numPr>
      </w:pPr>
      <w:r>
        <w:t xml:space="preserve">The displayed assignment uses 1 realizer for the roles.</w:t>
      </w:r>
    </w:p>
    <w:bookmarkEnd w:id="182"/>
    <w:bookmarkStart w:id="183" w:name="what-they-do-not-establish-5"/>
    <w:p>
      <w:pPr>
        <w:pStyle w:val="Heading5"/>
      </w:pPr>
      <w:r>
        <w:t xml:space="preserve">What they do not establish</w:t>
      </w:r>
    </w:p>
    <w:p>
      <w:pPr>
        <w:pStyle w:val="Compact"/>
        <w:numPr>
          <w:ilvl w:val="0"/>
          <w:numId w:val="1018"/>
        </w:numPr>
      </w:pPr>
      <w:r>
        <w:t xml:space="preserve">Neither one shared realizer nor two distinct realizers proves an account of constitutive dependence.</w:t>
      </w:r>
    </w:p>
    <w:p>
      <w:pPr>
        <w:pStyle w:val="Compact"/>
        <w:numPr>
          <w:ilvl w:val="0"/>
          <w:numId w:val="1018"/>
        </w:numPr>
      </w:pPr>
      <w:r>
        <w:t xml:space="preserve">A shared realizer does not establish full divine simplicity; distinct roles do not refute it.</w:t>
      </w:r>
    </w:p>
    <w:bookmarkEnd w:id="183"/>
    <w:bookmarkStart w:id="186" w:name="assigned-facts-5"/>
    <w:p>
      <w:pPr>
        <w:pStyle w:val="Heading5"/>
      </w:pPr>
      <w:r>
        <w:t xml:space="preserve">Assigned facts</w:t>
      </w:r>
    </w:p>
    <w:bookmarkStart w:id="184" w:name="roles-2-assigned-records-1"/>
    <w:p>
      <w:pPr>
        <w:pStyle w:val="Heading6"/>
      </w:pPr>
      <w:r>
        <w:t xml:space="preserve">roles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["agent","understanding","t0"]</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["agent","willing","t0"]</w:t>
            </w:r>
          </w:p>
        </w:tc>
      </w:tr>
    </w:tbl>
    <w:bookmarkEnd w:id="184"/>
    <w:bookmarkStart w:id="185" w:name="realizers-2-assigned-records"/>
    <w:p>
      <w:pPr>
        <w:pStyle w:val="Heading6"/>
      </w:pPr>
      <w:r>
        <w:t xml:space="preserve">realizers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["agent","understanding","act-1","t0"]</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["agent","willing","act-1","t0"]</w:t>
            </w:r>
          </w:p>
        </w:tc>
      </w:tr>
    </w:tbl>
    <w:p>
      <w:pPr>
        <w:pStyle w:val="BodyText"/>
      </w:pPr>
      <w:r>
        <w:t xml:space="preserve">No records supplied in these categories: intrinsic, relations, acts, control, intentions, representation, truth, access, warrant, knowledge, capacity, selection, absence, constituents, dependence. Missing records mean “not supplied in this display,” rather than universal nonexistence.</w:t>
      </w:r>
    </w:p>
    <w:bookmarkEnd w:id="185"/>
    <w:bookmarkEnd w:id="186"/>
    <w:bookmarkEnd w:id="187"/>
    <w:bookmarkStart w:id="195" w:name="two-assigned-realizers"/>
    <w:p>
      <w:pPr>
        <w:pStyle w:val="Heading4"/>
      </w:pPr>
      <w:r>
        <w:t xml:space="preserve">3.3. Two assigned realizers</w:t>
      </w:r>
    </w:p>
    <w:p>
      <w:pPr>
        <w:pStyle w:val="FirstParagraph"/>
      </w:pPr>
      <w:r>
        <w:t xml:space="preserve">Status: finite example</w:t>
      </w:r>
    </w:p>
    <w:p>
      <w:pPr>
        <w:pStyle w:val="BodyText"/>
      </w:pPr>
      <w:r>
        <w:t xml:space="preserve">Assignments say what exists; names alone do not.</w:t>
      </w:r>
    </w:p>
    <w:bookmarkStart w:id="188" w:name="what-differs-in-this-example-6"/>
    <w:p>
      <w:pPr>
        <w:pStyle w:val="Heading5"/>
      </w:pPr>
      <w:r>
        <w:t xml:space="preserve">What differs in this example</w:t>
      </w:r>
    </w:p>
    <w:p>
      <w:pPr>
        <w:pStyle w:val="Compact"/>
        <w:numPr>
          <w:ilvl w:val="0"/>
          <w:numId w:val="1019"/>
        </w:numPr>
      </w:pPr>
      <w:r>
        <w:t xml:space="preserve">2 stipulated realizers</w:t>
      </w:r>
    </w:p>
    <w:p>
      <w:pPr>
        <w:pStyle w:val="Compact"/>
        <w:numPr>
          <w:ilvl w:val="0"/>
          <w:numId w:val="1019"/>
        </w:numPr>
      </w:pPr>
      <w:r>
        <w:t xml:space="preserve">Distinct explanatory roles</w:t>
      </w:r>
    </w:p>
    <w:bookmarkEnd w:id="188"/>
    <w:bookmarkStart w:id="189" w:name="checks-against-the-assigned-records-6"/>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roles-distinct</w:t>
            </w:r>
          </w:p>
        </w:tc>
        <w:tc>
          <w:tcPr>
            <w:tcW w:type="dxa" w:w="2749"/>
          </w:tcPr>
          <w:p>
            <w:pPr>
              <w:pStyle w:val="BodyText"/>
              <w:keepNext w:val="0"/>
              <w:spacing w:after="80" w:line="252" w:lineRule="auto"/>
              <w:jc w:val="left"/>
            </w:pPr>
            <w:r>
              <w:rPr>
                <w:rFonts w:ascii="Calibri" w:hAnsi="Calibri"/>
                <w:sz w:val="17"/>
              </w:rPr>
              <w:t xml:space="preserve">Two roles are described</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The descriptions differ before facts establish what realizes those roles.</w:t>
            </w:r>
          </w:p>
        </w:tc>
      </w:tr>
      <w:tr>
        <w:tc>
          <w:tcPr>
            <w:tcW w:type="dxa" w:w="1689"/>
          </w:tcPr>
          <w:p>
            <w:pPr>
              <w:pStyle w:val="BodyText"/>
              <w:keepNext w:val="0"/>
              <w:spacing w:after="80" w:line="252" w:lineRule="auto"/>
              <w:jc w:val="left"/>
            </w:pPr>
            <w:r>
              <w:rPr>
                <w:rFonts w:ascii="Calibri" w:hAnsi="Calibri"/>
                <w:sz w:val="17"/>
              </w:rPr>
              <w:t xml:space="preserve">realizers-supplied</w:t>
            </w:r>
          </w:p>
        </w:tc>
        <w:tc>
          <w:tcPr>
            <w:tcW w:type="dxa" w:w="2749"/>
          </w:tcPr>
          <w:p>
            <w:pPr>
              <w:pStyle w:val="BodyText"/>
              <w:keepNext w:val="0"/>
              <w:spacing w:after="80" w:line="252" w:lineRule="auto"/>
              <w:jc w:val="left"/>
            </w:pPr>
            <w:r>
              <w:rPr>
                <w:rFonts w:ascii="Calibri" w:hAnsi="Calibri"/>
                <w:sz w:val="17"/>
              </w:rPr>
              <w:t xml:space="preserve">What realizes each role is separately assigned</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A realizer assignment is additional information, not a deduction from two names.</w:t>
            </w:r>
          </w:p>
        </w:tc>
      </w:tr>
    </w:tbl>
    <w:bookmarkEnd w:id="189"/>
    <w:bookmarkStart w:id="190" w:name="what-the-assigned-facts-support-6"/>
    <w:p>
      <w:pPr>
        <w:pStyle w:val="Heading5"/>
      </w:pPr>
      <w:r>
        <w:t xml:space="preserve">What the assigned facts support</w:t>
      </w:r>
    </w:p>
    <w:p>
      <w:pPr>
        <w:pStyle w:val="Compact"/>
        <w:numPr>
          <w:ilvl w:val="0"/>
          <w:numId w:val="1020"/>
        </w:numPr>
      </w:pPr>
      <w:r>
        <w:t xml:space="preserve">The displayed assignment uses 2 realizers for the roles.</w:t>
      </w:r>
    </w:p>
    <w:bookmarkEnd w:id="190"/>
    <w:bookmarkStart w:id="191" w:name="what-they-do-not-establish-6"/>
    <w:p>
      <w:pPr>
        <w:pStyle w:val="Heading5"/>
      </w:pPr>
      <w:r>
        <w:t xml:space="preserve">What they do not establish</w:t>
      </w:r>
    </w:p>
    <w:p>
      <w:pPr>
        <w:pStyle w:val="Compact"/>
        <w:numPr>
          <w:ilvl w:val="0"/>
          <w:numId w:val="1021"/>
        </w:numPr>
      </w:pPr>
      <w:r>
        <w:t xml:space="preserve">Neither one shared realizer nor two distinct realizers proves an account of constitutive dependence.</w:t>
      </w:r>
    </w:p>
    <w:p>
      <w:pPr>
        <w:pStyle w:val="Compact"/>
        <w:numPr>
          <w:ilvl w:val="0"/>
          <w:numId w:val="1021"/>
        </w:numPr>
      </w:pPr>
      <w:r>
        <w:t xml:space="preserve">A shared realizer does not establish full divine simplicity; distinct roles do not refute it.</w:t>
      </w:r>
    </w:p>
    <w:bookmarkEnd w:id="191"/>
    <w:bookmarkStart w:id="194" w:name="assigned-facts-6"/>
    <w:p>
      <w:pPr>
        <w:pStyle w:val="Heading5"/>
      </w:pPr>
      <w:r>
        <w:t xml:space="preserve">Assigned facts</w:t>
      </w:r>
    </w:p>
    <w:bookmarkStart w:id="192" w:name="roles-2-assigned-records-2"/>
    <w:p>
      <w:pPr>
        <w:pStyle w:val="Heading6"/>
      </w:pPr>
      <w:r>
        <w:t xml:space="preserve">roles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["agent","understanding","t0"]</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["agent","willing","t0"]</w:t>
            </w:r>
          </w:p>
        </w:tc>
      </w:tr>
    </w:tbl>
    <w:bookmarkEnd w:id="192"/>
    <w:bookmarkStart w:id="193" w:name="realizers-2-assigned-records-1"/>
    <w:p>
      <w:pPr>
        <w:pStyle w:val="Heading6"/>
      </w:pPr>
      <w:r>
        <w:t xml:space="preserve">realizers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["agent","understanding","act-1","t0"]</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["agent","willing","act-2","t0"]</w:t>
            </w:r>
          </w:p>
        </w:tc>
      </w:tr>
    </w:tbl>
    <w:p>
      <w:pPr>
        <w:pStyle w:val="BodyText"/>
      </w:pPr>
      <w:r>
        <w:t xml:space="preserve">No records supplied in these categories: intrinsic, relations, acts, control, intentions, representation, truth, access, warrant, knowledge, capacity, selection, absence, constituents, dependence. Missing records mean “not supplied in this display,” rather than universal nonexistence.</w:t>
      </w:r>
    </w:p>
    <w:bookmarkEnd w:id="193"/>
    <w:bookmarkEnd w:id="194"/>
    <w:bookmarkEnd w:id="195"/>
    <w:bookmarkEnd w:id="196"/>
    <w:bookmarkStart w:id="225" w:name="true-representation-warranted-knowledge"/>
    <w:p>
      <w:pPr>
        <w:pStyle w:val="Heading3"/>
      </w:pPr>
      <w:r>
        <w:t xml:space="preserve">4. True representation, warranted knowledge?</w:t>
      </w:r>
    </w:p>
    <w:p>
      <w:pPr>
        <w:pStyle w:val="FirstParagraph"/>
      </w:pPr>
      <w:r>
        <w:t xml:space="preserve">What makes an accurate representation more than a lucky guess?</w:t>
      </w:r>
    </w:p>
    <w:p>
      <w:pPr>
        <w:pStyle w:val="BodyText"/>
      </w:pPr>
      <w:r>
        <w:t xml:space="preserve">A true thought about an open door can be supported by reliable access, or it can happen to be true. A claim of knowledge has to answer to that difference.</w:t>
      </w:r>
    </w:p>
    <w:bookmarkStart w:id="207" w:name="supported-access-to-the-open-door"/>
    <w:p>
      <w:pPr>
        <w:pStyle w:val="Heading4"/>
      </w:pPr>
      <w:r>
        <w:t xml:space="preserve">4.1. Supported access to the open door</w:t>
      </w:r>
    </w:p>
    <w:p>
      <w:pPr>
        <w:pStyle w:val="FirstParagraph"/>
      </w:pPr>
      <w:r>
        <w:t xml:space="preserve">Status: finite example</w:t>
      </w:r>
    </w:p>
    <w:p>
      <w:pPr>
        <w:pStyle w:val="BodyText"/>
      </w:pPr>
      <w:r>
        <w:t xml:space="preserve">Access and justification do work that accuracy alone cannot.</w:t>
      </w:r>
    </w:p>
    <w:bookmarkStart w:id="197" w:name="what-differs-in-this-example-7"/>
    <w:p>
      <w:pPr>
        <w:pStyle w:val="Heading5"/>
      </w:pPr>
      <w:r>
        <w:t xml:space="preserve">What differs in this example</w:t>
      </w:r>
    </w:p>
    <w:p>
      <w:pPr>
        <w:pStyle w:val="Compact"/>
        <w:numPr>
          <w:ilvl w:val="0"/>
          <w:numId w:val="1022"/>
        </w:numPr>
      </w:pPr>
      <w:r>
        <w:t xml:space="preserve">Represented content</w:t>
      </w:r>
    </w:p>
    <w:p>
      <w:pPr>
        <w:pStyle w:val="Compact"/>
        <w:numPr>
          <w:ilvl w:val="0"/>
          <w:numId w:val="1022"/>
        </w:numPr>
      </w:pPr>
      <w:r>
        <w:t xml:space="preserve">Supported cognitive access</w:t>
      </w:r>
    </w:p>
    <w:bookmarkEnd w:id="197"/>
    <w:bookmarkStart w:id="198" w:name="checks-against-the-assigned-records-7"/>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accurate</w:t>
            </w:r>
          </w:p>
        </w:tc>
        <w:tc>
          <w:tcPr>
            <w:tcW w:type="dxa" w:w="2749"/>
          </w:tcPr>
          <w:p>
            <w:pPr>
              <w:pStyle w:val="BodyText"/>
              <w:keepNext w:val="0"/>
              <w:spacing w:after="80" w:line="252" w:lineRule="auto"/>
              <w:jc w:val="left"/>
            </w:pPr>
            <w:r>
              <w:rPr>
                <w:rFonts w:ascii="Calibri" w:hAnsi="Calibri"/>
                <w:sz w:val="17"/>
              </w:rPr>
              <w:t xml:space="preserve">The represented content is true</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Accuracy is checked separately from access.</w:t>
            </w:r>
          </w:p>
        </w:tc>
      </w:tr>
      <w:tr>
        <w:tc>
          <w:tcPr>
            <w:tcW w:type="dxa" w:w="1689"/>
          </w:tcPr>
          <w:p>
            <w:pPr>
              <w:pStyle w:val="BodyText"/>
              <w:keepNext w:val="0"/>
              <w:spacing w:after="80" w:line="252" w:lineRule="auto"/>
              <w:jc w:val="left"/>
            </w:pPr>
            <w:r>
              <w:rPr>
                <w:rFonts w:ascii="Calibri" w:hAnsi="Calibri"/>
                <w:sz w:val="17"/>
              </w:rPr>
              <w:t xml:space="preserve">warranted-access</w:t>
            </w:r>
          </w:p>
        </w:tc>
        <w:tc>
          <w:tcPr>
            <w:tcW w:type="dxa" w:w="2749"/>
          </w:tcPr>
          <w:p>
            <w:pPr>
              <w:pStyle w:val="BodyText"/>
              <w:keepNext w:val="0"/>
              <w:spacing w:after="80" w:line="252" w:lineRule="auto"/>
              <w:jc w:val="left"/>
            </w:pPr>
            <w:r>
              <w:rPr>
                <w:rFonts w:ascii="Calibri" w:hAnsi="Calibri"/>
                <w:sz w:val="17"/>
              </w:rPr>
              <w:t xml:space="preserve">A route to knowledge and its justification are present</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Justification is an independent fact in this example; truth alone does not generate it.</w:t>
            </w:r>
          </w:p>
        </w:tc>
      </w:tr>
      <w:tr>
        <w:tc>
          <w:tcPr>
            <w:tcW w:type="dxa" w:w="1689"/>
          </w:tcPr>
          <w:p>
            <w:pPr>
              <w:pStyle w:val="BodyText"/>
              <w:keepNext w:val="0"/>
              <w:spacing w:after="80" w:line="252" w:lineRule="auto"/>
              <w:jc w:val="left"/>
            </w:pPr>
            <w:r>
              <w:rPr>
                <w:rFonts w:ascii="Calibri" w:hAnsi="Calibri"/>
                <w:sz w:val="17"/>
              </w:rPr>
              <w:t xml:space="preserve">knowledge-attribution</w:t>
            </w:r>
          </w:p>
        </w:tc>
        <w:tc>
          <w:tcPr>
            <w:tcW w:type="dxa" w:w="2749"/>
          </w:tcPr>
          <w:p>
            <w:pPr>
              <w:pStyle w:val="BodyText"/>
              <w:keepNext w:val="0"/>
              <w:spacing w:after="80" w:line="252" w:lineRule="auto"/>
              <w:jc w:val="left"/>
            </w:pPr>
            <w:r>
              <w:rPr>
                <w:rFonts w:ascii="Calibri" w:hAnsi="Calibri"/>
                <w:sz w:val="17"/>
              </w:rPr>
              <w:t xml:space="preserve">The knowledge attribution is supported by the records</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Writing “knowledge” is insufficient when its epistemic support is absent.</w:t>
            </w:r>
          </w:p>
        </w:tc>
      </w:tr>
    </w:tbl>
    <w:bookmarkEnd w:id="198"/>
    <w:bookmarkStart w:id="199" w:name="what-the-assigned-facts-support-7"/>
    <w:p>
      <w:pPr>
        <w:pStyle w:val="Heading5"/>
      </w:pPr>
      <w:r>
        <w:t xml:space="preserve">What the assigned facts support</w:t>
      </w:r>
    </w:p>
    <w:p>
      <w:pPr>
        <w:pStyle w:val="Compact"/>
        <w:numPr>
          <w:ilvl w:val="0"/>
          <w:numId w:val="1023"/>
        </w:numPr>
      </w:pPr>
      <w:r>
        <w:t xml:space="preserve">The recorded knowledge attribution has a true content and separately supplied epistemic support.</w:t>
      </w:r>
    </w:p>
    <w:bookmarkEnd w:id="199"/>
    <w:bookmarkStart w:id="200" w:name="what-they-do-not-establish-7"/>
    <w:p>
      <w:pPr>
        <w:pStyle w:val="Heading5"/>
      </w:pPr>
      <w:r>
        <w:t xml:space="preserve">What they do not establish</w:t>
      </w:r>
    </w:p>
    <w:p>
      <w:pPr>
        <w:pStyle w:val="Compact"/>
        <w:numPr>
          <w:ilvl w:val="0"/>
          <w:numId w:val="1024"/>
        </w:numPr>
      </w:pPr>
      <w:r>
        <w:t xml:space="preserve">This illustrates an epistemic distinction; it does not prove divine non-receptive knowledge.</w:t>
      </w:r>
    </w:p>
    <w:p>
      <w:pPr>
        <w:pStyle w:val="Compact"/>
        <w:numPr>
          <w:ilvl w:val="0"/>
          <w:numId w:val="1024"/>
        </w:numPr>
      </w:pPr>
      <w:r>
        <w:t xml:space="preserve">No intrinsic multiplication of a knower follows merely from counting known contents.</w:t>
      </w:r>
    </w:p>
    <w:bookmarkEnd w:id="200"/>
    <w:bookmarkStart w:id="206" w:name="assigned-facts-7"/>
    <w:p>
      <w:pPr>
        <w:pStyle w:val="Heading5"/>
      </w:pPr>
      <w:r>
        <w:t xml:space="preserve">Assigned facts</w:t>
      </w:r>
    </w:p>
    <w:bookmarkStart w:id="201" w:name="representation-1-assigned-record"/>
    <w:p>
      <w:pPr>
        <w:pStyle w:val="Heading6"/>
      </w:pPr>
      <w:r>
        <w:t xml:space="preserve">representation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["observer","door-open","t0"]</w:t>
            </w:r>
          </w:p>
        </w:tc>
      </w:tr>
    </w:tbl>
    <w:bookmarkEnd w:id="201"/>
    <w:bookmarkStart w:id="202" w:name="truth-1-assigned-record"/>
    <w:p>
      <w:pPr>
        <w:pStyle w:val="Heading6"/>
      </w:pPr>
      <w:r>
        <w:t xml:space="preserve">truth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["door-open","t0"]</w:t>
            </w:r>
          </w:p>
        </w:tc>
      </w:tr>
    </w:tbl>
    <w:bookmarkEnd w:id="202"/>
    <w:bookmarkStart w:id="203" w:name="access-1-assigned-record"/>
    <w:p>
      <w:pPr>
        <w:pStyle w:val="Heading6"/>
      </w:pPr>
      <w:r>
        <w:t xml:space="preserve">access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["observer","door-open","unobstructed-observation","t0"]</w:t>
            </w:r>
          </w:p>
        </w:tc>
      </w:tr>
    </w:tbl>
    <w:bookmarkEnd w:id="203"/>
    <w:bookmarkStart w:id="204" w:name="warrant-1-assigned-record"/>
    <w:p>
      <w:pPr>
        <w:pStyle w:val="Heading6"/>
      </w:pPr>
      <w:r>
        <w:t xml:space="preserve">warrant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["observer","door-open","unobstructed-observation","t0"]</w:t>
            </w:r>
          </w:p>
        </w:tc>
      </w:tr>
    </w:tbl>
    <w:bookmarkEnd w:id="204"/>
    <w:bookmarkStart w:id="205" w:name="knowledge-1-assigned-record"/>
    <w:p>
      <w:pPr>
        <w:pStyle w:val="Heading6"/>
      </w:pPr>
      <w:r>
        <w:t xml:space="preserve">knowledge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["observer","door-open","t0"]</w:t>
            </w:r>
          </w:p>
        </w:tc>
      </w:tr>
    </w:tbl>
    <w:p>
      <w:pPr>
        <w:pStyle w:val="BodyText"/>
      </w:pPr>
      <w:r>
        <w:t xml:space="preserve">No records supplied in these categories: intrinsic, relations, acts, control, intentions, roles, realizers, capacity, selection, absence, constituents, dependence. Missing records mean “not supplied in this display,” rather than universal nonexistence.</w:t>
      </w:r>
    </w:p>
    <w:bookmarkEnd w:id="205"/>
    <w:bookmarkEnd w:id="206"/>
    <w:bookmarkEnd w:id="207"/>
    <w:bookmarkStart w:id="215" w:name="the-guess-happens-to-be-true"/>
    <w:p>
      <w:pPr>
        <w:pStyle w:val="Heading4"/>
      </w:pPr>
      <w:r>
        <w:t xml:space="preserve">4.2. The guess happens to be true</w:t>
      </w:r>
    </w:p>
    <w:p>
      <w:pPr>
        <w:pStyle w:val="FirstParagraph"/>
      </w:pPr>
      <w:r>
        <w:t xml:space="preserve">Status: finite example</w:t>
      </w:r>
    </w:p>
    <w:p>
      <w:pPr>
        <w:pStyle w:val="BodyText"/>
      </w:pPr>
      <w:r>
        <w:t xml:space="preserve">A lucky truth is not enough.</w:t>
      </w:r>
    </w:p>
    <w:bookmarkStart w:id="208" w:name="what-differs-in-this-example-8"/>
    <w:p>
      <w:pPr>
        <w:pStyle w:val="Heading5"/>
      </w:pPr>
      <w:r>
        <w:t xml:space="preserve">What differs in this example</w:t>
      </w:r>
    </w:p>
    <w:p>
      <w:pPr>
        <w:pStyle w:val="Compact"/>
        <w:numPr>
          <w:ilvl w:val="0"/>
          <w:numId w:val="1025"/>
        </w:numPr>
      </w:pPr>
      <w:r>
        <w:t xml:space="preserve">Represented content</w:t>
      </w:r>
    </w:p>
    <w:p>
      <w:pPr>
        <w:pStyle w:val="Compact"/>
        <w:numPr>
          <w:ilvl w:val="0"/>
          <w:numId w:val="1025"/>
        </w:numPr>
      </w:pPr>
      <w:r>
        <w:t xml:space="preserve">A true representation without demonstrated justification</w:t>
      </w:r>
    </w:p>
    <w:bookmarkEnd w:id="208"/>
    <w:bookmarkStart w:id="209" w:name="checks-against-the-assigned-records-8"/>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accurate</w:t>
            </w:r>
          </w:p>
        </w:tc>
        <w:tc>
          <w:tcPr>
            <w:tcW w:type="dxa" w:w="2749"/>
          </w:tcPr>
          <w:p>
            <w:pPr>
              <w:pStyle w:val="BodyText"/>
              <w:keepNext w:val="0"/>
              <w:spacing w:after="80" w:line="252" w:lineRule="auto"/>
              <w:jc w:val="left"/>
            </w:pPr>
            <w:r>
              <w:rPr>
                <w:rFonts w:ascii="Calibri" w:hAnsi="Calibri"/>
                <w:sz w:val="17"/>
              </w:rPr>
              <w:t xml:space="preserve">The represented content is true</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Accuracy is checked separately from access.</w:t>
            </w:r>
          </w:p>
        </w:tc>
      </w:tr>
      <w:tr>
        <w:tc>
          <w:tcPr>
            <w:tcW w:type="dxa" w:w="1689"/>
          </w:tcPr>
          <w:p>
            <w:pPr>
              <w:pStyle w:val="BodyText"/>
              <w:keepNext w:val="0"/>
              <w:spacing w:after="80" w:line="252" w:lineRule="auto"/>
              <w:jc w:val="left"/>
            </w:pPr>
            <w:r>
              <w:rPr>
                <w:rFonts w:ascii="Calibri" w:hAnsi="Calibri"/>
                <w:sz w:val="17"/>
              </w:rPr>
              <w:t xml:space="preserve">warranted-access</w:t>
            </w:r>
          </w:p>
        </w:tc>
        <w:tc>
          <w:tcPr>
            <w:tcW w:type="dxa" w:w="2749"/>
          </w:tcPr>
          <w:p>
            <w:pPr>
              <w:pStyle w:val="BodyText"/>
              <w:keepNext w:val="0"/>
              <w:spacing w:after="80" w:line="252" w:lineRule="auto"/>
              <w:jc w:val="left"/>
            </w:pPr>
            <w:r>
              <w:rPr>
                <w:rFonts w:ascii="Calibri" w:hAnsi="Calibri"/>
                <w:sz w:val="17"/>
              </w:rPr>
              <w:t xml:space="preserve">A route to knowledge and its justification are present</w:t>
            </w:r>
          </w:p>
        </w:tc>
        <w:tc>
          <w:tcPr>
            <w:tcW w:type="dxa" w:w="2749"/>
          </w:tcPr>
          <w:p>
            <w:pPr>
              <w:pStyle w:val="BodyText"/>
              <w:keepNext w:val="0"/>
              <w:spacing w:after="80" w:line="252" w:lineRule="auto"/>
              <w:jc w:val="left"/>
            </w:pPr>
            <w:r>
              <w:rPr>
                <w:rFonts w:ascii="Calibri" w:hAnsi="Calibri"/>
                <w:sz w:val="17"/>
              </w:rPr>
              <w:t xml:space="preserve">Not supplied</w:t>
            </w:r>
          </w:p>
        </w:tc>
        <w:tc>
          <w:tcPr>
            <w:tcW w:type="dxa" w:w="2749"/>
          </w:tcPr>
          <w:p>
            <w:pPr>
              <w:pStyle w:val="BodyText"/>
              <w:keepNext w:val="0"/>
              <w:spacing w:after="80" w:line="252" w:lineRule="auto"/>
              <w:jc w:val="left"/>
            </w:pPr>
            <w:r>
              <w:rPr>
                <w:rFonts w:ascii="Calibri" w:hAnsi="Calibri"/>
                <w:sz w:val="17"/>
              </w:rPr>
              <w:t xml:space="preserve">Justification is an independent fact in this example; truth alone does not generate it.</w:t>
            </w:r>
          </w:p>
        </w:tc>
      </w:tr>
      <w:tr>
        <w:tc>
          <w:tcPr>
            <w:tcW w:type="dxa" w:w="1689"/>
          </w:tcPr>
          <w:p>
            <w:pPr>
              <w:pStyle w:val="BodyText"/>
              <w:keepNext w:val="0"/>
              <w:spacing w:after="80" w:line="252" w:lineRule="auto"/>
              <w:jc w:val="left"/>
            </w:pPr>
            <w:r>
              <w:rPr>
                <w:rFonts w:ascii="Calibri" w:hAnsi="Calibri"/>
                <w:sz w:val="17"/>
              </w:rPr>
              <w:t xml:space="preserve">knowledge-attribution</w:t>
            </w:r>
          </w:p>
        </w:tc>
        <w:tc>
          <w:tcPr>
            <w:tcW w:type="dxa" w:w="2749"/>
          </w:tcPr>
          <w:p>
            <w:pPr>
              <w:pStyle w:val="BodyText"/>
              <w:keepNext w:val="0"/>
              <w:spacing w:after="80" w:line="252" w:lineRule="auto"/>
              <w:jc w:val="left"/>
            </w:pPr>
            <w:r>
              <w:rPr>
                <w:rFonts w:ascii="Calibri" w:hAnsi="Calibri"/>
                <w:sz w:val="17"/>
              </w:rPr>
              <w:t xml:space="preserve">The knowledge attribution is supported by the records</w:t>
            </w:r>
          </w:p>
        </w:tc>
        <w:tc>
          <w:tcPr>
            <w:tcW w:type="dxa" w:w="2749"/>
          </w:tcPr>
          <w:p>
            <w:pPr>
              <w:pStyle w:val="BodyText"/>
              <w:keepNext w:val="0"/>
              <w:spacing w:after="80" w:line="252" w:lineRule="auto"/>
              <w:jc w:val="left"/>
            </w:pPr>
            <w:r>
              <w:rPr>
                <w:rFonts w:ascii="Calibri" w:hAnsi="Calibri"/>
                <w:sz w:val="17"/>
              </w:rPr>
              <w:t xml:space="preserve">Not supplied</w:t>
            </w:r>
          </w:p>
        </w:tc>
        <w:tc>
          <w:tcPr>
            <w:tcW w:type="dxa" w:w="2749"/>
          </w:tcPr>
          <w:p>
            <w:pPr>
              <w:pStyle w:val="BodyText"/>
              <w:keepNext w:val="0"/>
              <w:spacing w:after="80" w:line="252" w:lineRule="auto"/>
              <w:jc w:val="left"/>
            </w:pPr>
            <w:r>
              <w:rPr>
                <w:rFonts w:ascii="Calibri" w:hAnsi="Calibri"/>
                <w:sz w:val="17"/>
              </w:rPr>
              <w:t xml:space="preserve">Writing “knowledge” is insufficient when its epistemic support is absent.</w:t>
            </w:r>
          </w:p>
        </w:tc>
      </w:tr>
    </w:tbl>
    <w:bookmarkEnd w:id="209"/>
    <w:bookmarkStart w:id="210" w:name="what-the-assigned-facts-support-8"/>
    <w:p>
      <w:pPr>
        <w:pStyle w:val="Heading5"/>
      </w:pPr>
      <w:r>
        <w:t xml:space="preserve">What the assigned facts support</w:t>
      </w:r>
    </w:p>
    <w:p>
      <w:pPr>
        <w:pStyle w:val="Compact"/>
        <w:numPr>
          <w:ilvl w:val="0"/>
          <w:numId w:val="1026"/>
        </w:numPr>
      </w:pPr>
      <w:r>
        <w:t xml:space="preserve">Truth and a representation label do not establish knowledge.</w:t>
      </w:r>
    </w:p>
    <w:bookmarkEnd w:id="210"/>
    <w:bookmarkStart w:id="211" w:name="what-they-do-not-establish-8"/>
    <w:p>
      <w:pPr>
        <w:pStyle w:val="Heading5"/>
      </w:pPr>
      <w:r>
        <w:t xml:space="preserve">What they do not establish</w:t>
      </w:r>
    </w:p>
    <w:p>
      <w:pPr>
        <w:pStyle w:val="Compact"/>
        <w:numPr>
          <w:ilvl w:val="0"/>
          <w:numId w:val="1027"/>
        </w:numPr>
      </w:pPr>
      <w:r>
        <w:t xml:space="preserve">This illustrates an epistemic distinction; it does not prove divine non-receptive knowledge.</w:t>
      </w:r>
    </w:p>
    <w:p>
      <w:pPr>
        <w:pStyle w:val="Compact"/>
        <w:numPr>
          <w:ilvl w:val="0"/>
          <w:numId w:val="1027"/>
        </w:numPr>
      </w:pPr>
      <w:r>
        <w:t xml:space="preserve">No intrinsic multiplication of a knower follows merely from counting known contents.</w:t>
      </w:r>
    </w:p>
    <w:bookmarkEnd w:id="211"/>
    <w:bookmarkStart w:id="214" w:name="assigned-facts-8"/>
    <w:p>
      <w:pPr>
        <w:pStyle w:val="Heading5"/>
      </w:pPr>
      <w:r>
        <w:t xml:space="preserve">Assigned facts</w:t>
      </w:r>
    </w:p>
    <w:bookmarkStart w:id="212" w:name="representation-1-assigned-record-1"/>
    <w:p>
      <w:pPr>
        <w:pStyle w:val="Heading6"/>
      </w:pPr>
      <w:r>
        <w:t xml:space="preserve">representation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["observer","door-open","t0"]</w:t>
            </w:r>
          </w:p>
        </w:tc>
      </w:tr>
    </w:tbl>
    <w:bookmarkEnd w:id="212"/>
    <w:bookmarkStart w:id="213" w:name="truth-1-assigned-record-1"/>
    <w:p>
      <w:pPr>
        <w:pStyle w:val="Heading6"/>
      </w:pPr>
      <w:r>
        <w:t xml:space="preserve">truth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["door-open","t0"]</w:t>
            </w:r>
          </w:p>
        </w:tc>
      </w:tr>
    </w:tbl>
    <w:p>
      <w:pPr>
        <w:pStyle w:val="BodyText"/>
      </w:pPr>
      <w:r>
        <w:t xml:space="preserve">No records supplied in these categories: intrinsic, relations, acts, control, intentions, roles, realizers, access, warrant, knowledge, capacity, selection, absence, constituents, dependence. Missing records mean “not supplied in this display,” rather than universal nonexistence.</w:t>
      </w:r>
    </w:p>
    <w:bookmarkEnd w:id="213"/>
    <w:bookmarkEnd w:id="214"/>
    <w:bookmarkEnd w:id="215"/>
    <w:bookmarkStart w:id="224" w:name="the-guess-is-labelled-knowledge"/>
    <w:p>
      <w:pPr>
        <w:pStyle w:val="Heading4"/>
      </w:pPr>
      <w:r>
        <w:t xml:space="preserve">4.3. The guess is labelled “knowledge”</w:t>
      </w:r>
    </w:p>
    <w:p>
      <w:pPr>
        <w:pStyle w:val="FirstParagraph"/>
      </w:pPr>
      <w:r>
        <w:t xml:space="preserve">Status: finite example</w:t>
      </w:r>
    </w:p>
    <w:p>
      <w:pPr>
        <w:pStyle w:val="BodyText"/>
      </w:pPr>
      <w:r>
        <w:t xml:space="preserve">A lucky truth is not enough.</w:t>
      </w:r>
    </w:p>
    <w:bookmarkStart w:id="216" w:name="what-differs-in-this-example-9"/>
    <w:p>
      <w:pPr>
        <w:pStyle w:val="Heading5"/>
      </w:pPr>
      <w:r>
        <w:t xml:space="preserve">What differs in this example</w:t>
      </w:r>
    </w:p>
    <w:p>
      <w:pPr>
        <w:pStyle w:val="Compact"/>
        <w:numPr>
          <w:ilvl w:val="0"/>
          <w:numId w:val="1028"/>
        </w:numPr>
      </w:pPr>
      <w:r>
        <w:t xml:space="preserve">Represented content</w:t>
      </w:r>
    </w:p>
    <w:p>
      <w:pPr>
        <w:pStyle w:val="Compact"/>
        <w:numPr>
          <w:ilvl w:val="0"/>
          <w:numId w:val="1028"/>
        </w:numPr>
      </w:pPr>
      <w:r>
        <w:t xml:space="preserve">A true representation without demonstrated justification</w:t>
      </w:r>
    </w:p>
    <w:bookmarkEnd w:id="216"/>
    <w:bookmarkStart w:id="217" w:name="checks-against-the-assigned-records-9"/>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accurate</w:t>
            </w:r>
          </w:p>
        </w:tc>
        <w:tc>
          <w:tcPr>
            <w:tcW w:type="dxa" w:w="2749"/>
          </w:tcPr>
          <w:p>
            <w:pPr>
              <w:pStyle w:val="BodyText"/>
              <w:keepNext w:val="0"/>
              <w:spacing w:after="80" w:line="252" w:lineRule="auto"/>
              <w:jc w:val="left"/>
            </w:pPr>
            <w:r>
              <w:rPr>
                <w:rFonts w:ascii="Calibri" w:hAnsi="Calibri"/>
                <w:sz w:val="17"/>
              </w:rPr>
              <w:t xml:space="preserve">The represented content is true</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Accuracy is checked separately from access.</w:t>
            </w:r>
          </w:p>
        </w:tc>
      </w:tr>
      <w:tr>
        <w:tc>
          <w:tcPr>
            <w:tcW w:type="dxa" w:w="1689"/>
          </w:tcPr>
          <w:p>
            <w:pPr>
              <w:pStyle w:val="BodyText"/>
              <w:keepNext w:val="0"/>
              <w:spacing w:after="80" w:line="252" w:lineRule="auto"/>
              <w:jc w:val="left"/>
            </w:pPr>
            <w:r>
              <w:rPr>
                <w:rFonts w:ascii="Calibri" w:hAnsi="Calibri"/>
                <w:sz w:val="17"/>
              </w:rPr>
              <w:t xml:space="preserve">warranted-access</w:t>
            </w:r>
          </w:p>
        </w:tc>
        <w:tc>
          <w:tcPr>
            <w:tcW w:type="dxa" w:w="2749"/>
          </w:tcPr>
          <w:p>
            <w:pPr>
              <w:pStyle w:val="BodyText"/>
              <w:keepNext w:val="0"/>
              <w:spacing w:after="80" w:line="252" w:lineRule="auto"/>
              <w:jc w:val="left"/>
            </w:pPr>
            <w:r>
              <w:rPr>
                <w:rFonts w:ascii="Calibri" w:hAnsi="Calibri"/>
                <w:sz w:val="17"/>
              </w:rPr>
              <w:t xml:space="preserve">A route to knowledge and its justification are present</w:t>
            </w:r>
          </w:p>
        </w:tc>
        <w:tc>
          <w:tcPr>
            <w:tcW w:type="dxa" w:w="2749"/>
          </w:tcPr>
          <w:p>
            <w:pPr>
              <w:pStyle w:val="BodyText"/>
              <w:keepNext w:val="0"/>
              <w:spacing w:after="80" w:line="252" w:lineRule="auto"/>
              <w:jc w:val="left"/>
            </w:pPr>
            <w:r>
              <w:rPr>
                <w:rFonts w:ascii="Calibri" w:hAnsi="Calibri"/>
                <w:sz w:val="17"/>
              </w:rPr>
              <w:t xml:space="preserve">Not supplied</w:t>
            </w:r>
          </w:p>
        </w:tc>
        <w:tc>
          <w:tcPr>
            <w:tcW w:type="dxa" w:w="2749"/>
          </w:tcPr>
          <w:p>
            <w:pPr>
              <w:pStyle w:val="BodyText"/>
              <w:keepNext w:val="0"/>
              <w:spacing w:after="80" w:line="252" w:lineRule="auto"/>
              <w:jc w:val="left"/>
            </w:pPr>
            <w:r>
              <w:rPr>
                <w:rFonts w:ascii="Calibri" w:hAnsi="Calibri"/>
                <w:sz w:val="17"/>
              </w:rPr>
              <w:t xml:space="preserve">Justification is an independent fact in this example; truth alone does not generate it.</w:t>
            </w:r>
          </w:p>
        </w:tc>
      </w:tr>
      <w:tr>
        <w:tc>
          <w:tcPr>
            <w:tcW w:type="dxa" w:w="1689"/>
          </w:tcPr>
          <w:p>
            <w:pPr>
              <w:pStyle w:val="BodyText"/>
              <w:keepNext w:val="0"/>
              <w:spacing w:after="80" w:line="252" w:lineRule="auto"/>
              <w:jc w:val="left"/>
            </w:pPr>
            <w:r>
              <w:rPr>
                <w:rFonts w:ascii="Calibri" w:hAnsi="Calibri"/>
                <w:sz w:val="17"/>
              </w:rPr>
              <w:t xml:space="preserve">knowledge-attribution</w:t>
            </w:r>
          </w:p>
        </w:tc>
        <w:tc>
          <w:tcPr>
            <w:tcW w:type="dxa" w:w="2749"/>
          </w:tcPr>
          <w:p>
            <w:pPr>
              <w:pStyle w:val="BodyText"/>
              <w:keepNext w:val="0"/>
              <w:spacing w:after="80" w:line="252" w:lineRule="auto"/>
              <w:jc w:val="left"/>
            </w:pPr>
            <w:r>
              <w:rPr>
                <w:rFonts w:ascii="Calibri" w:hAnsi="Calibri"/>
                <w:sz w:val="17"/>
              </w:rPr>
              <w:t xml:space="preserve">The knowledge attribution is supported by the records</w:t>
            </w:r>
          </w:p>
        </w:tc>
        <w:tc>
          <w:tcPr>
            <w:tcW w:type="dxa" w:w="2749"/>
          </w:tcPr>
          <w:p>
            <w:pPr>
              <w:pStyle w:val="BodyText"/>
              <w:keepNext w:val="0"/>
              <w:spacing w:after="80" w:line="252" w:lineRule="auto"/>
              <w:jc w:val="left"/>
            </w:pPr>
            <w:r>
              <w:rPr>
                <w:rFonts w:ascii="Calibri" w:hAnsi="Calibri"/>
                <w:sz w:val="17"/>
              </w:rPr>
              <w:t xml:space="preserve">Not supplied</w:t>
            </w:r>
          </w:p>
        </w:tc>
        <w:tc>
          <w:tcPr>
            <w:tcW w:type="dxa" w:w="2749"/>
          </w:tcPr>
          <w:p>
            <w:pPr>
              <w:pStyle w:val="BodyText"/>
              <w:keepNext w:val="0"/>
              <w:spacing w:after="80" w:line="252" w:lineRule="auto"/>
              <w:jc w:val="left"/>
            </w:pPr>
            <w:r>
              <w:rPr>
                <w:rFonts w:ascii="Calibri" w:hAnsi="Calibri"/>
                <w:sz w:val="17"/>
              </w:rPr>
              <w:t xml:space="preserve">Writing “knowledge” is insufficient when its epistemic support is absent.</w:t>
            </w:r>
          </w:p>
        </w:tc>
      </w:tr>
    </w:tbl>
    <w:bookmarkEnd w:id="217"/>
    <w:bookmarkStart w:id="218" w:name="what-the-assigned-facts-support-9"/>
    <w:p>
      <w:pPr>
        <w:pStyle w:val="Heading5"/>
      </w:pPr>
      <w:r>
        <w:t xml:space="preserve">What the assigned facts support</w:t>
      </w:r>
    </w:p>
    <w:p>
      <w:pPr>
        <w:pStyle w:val="Compact"/>
        <w:numPr>
          <w:ilvl w:val="0"/>
          <w:numId w:val="1029"/>
        </w:numPr>
      </w:pPr>
      <w:r>
        <w:t xml:space="preserve">Truth and a representation label do not establish knowledge.</w:t>
      </w:r>
    </w:p>
    <w:bookmarkEnd w:id="218"/>
    <w:bookmarkStart w:id="219" w:name="what-they-do-not-establish-9"/>
    <w:p>
      <w:pPr>
        <w:pStyle w:val="Heading5"/>
      </w:pPr>
      <w:r>
        <w:t xml:space="preserve">What they do not establish</w:t>
      </w:r>
    </w:p>
    <w:p>
      <w:pPr>
        <w:pStyle w:val="Compact"/>
        <w:numPr>
          <w:ilvl w:val="0"/>
          <w:numId w:val="1030"/>
        </w:numPr>
      </w:pPr>
      <w:r>
        <w:t xml:space="preserve">This illustrates an epistemic distinction; it does not prove divine non-receptive knowledge.</w:t>
      </w:r>
    </w:p>
    <w:p>
      <w:pPr>
        <w:pStyle w:val="Compact"/>
        <w:numPr>
          <w:ilvl w:val="0"/>
          <w:numId w:val="1030"/>
        </w:numPr>
      </w:pPr>
      <w:r>
        <w:t xml:space="preserve">No intrinsic multiplication of a knower follows merely from counting known contents.</w:t>
      </w:r>
    </w:p>
    <w:bookmarkEnd w:id="219"/>
    <w:bookmarkStart w:id="223" w:name="assigned-facts-9"/>
    <w:p>
      <w:pPr>
        <w:pStyle w:val="Heading5"/>
      </w:pPr>
      <w:r>
        <w:t xml:space="preserve">Assigned facts</w:t>
      </w:r>
    </w:p>
    <w:bookmarkStart w:id="220" w:name="representation-1-assigned-record-2"/>
    <w:p>
      <w:pPr>
        <w:pStyle w:val="Heading6"/>
      </w:pPr>
      <w:r>
        <w:t xml:space="preserve">representation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["observer","door-open","t0"]</w:t>
            </w:r>
          </w:p>
        </w:tc>
      </w:tr>
    </w:tbl>
    <w:bookmarkEnd w:id="220"/>
    <w:bookmarkStart w:id="221" w:name="truth-1-assigned-record-2"/>
    <w:p>
      <w:pPr>
        <w:pStyle w:val="Heading6"/>
      </w:pPr>
      <w:r>
        <w:t xml:space="preserve">truth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["door-open","t0"]</w:t>
            </w:r>
          </w:p>
        </w:tc>
      </w:tr>
    </w:tbl>
    <w:bookmarkEnd w:id="221"/>
    <w:bookmarkStart w:id="222" w:name="knowledge-1-assigned-record-1"/>
    <w:p>
      <w:pPr>
        <w:pStyle w:val="Heading6"/>
      </w:pPr>
      <w:r>
        <w:t xml:space="preserve">knowledge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["observer","door-open","t0"]</w:t>
            </w:r>
          </w:p>
        </w:tc>
      </w:tr>
    </w:tbl>
    <w:p>
      <w:pPr>
        <w:pStyle w:val="BodyText"/>
      </w:pPr>
      <w:r>
        <w:t xml:space="preserve">No records supplied in these categories: intrinsic, relations, acts, control, intentions, roles, realizers, access, warrant, capacity, selection, absence, constituents, dependence. Missing records mean “not supplied in this display,” rather than universal nonexistence.</w:t>
      </w:r>
    </w:p>
    <w:bookmarkEnd w:id="222"/>
    <w:bookmarkEnd w:id="223"/>
    <w:bookmarkEnd w:id="224"/>
    <w:bookmarkEnd w:id="225"/>
    <w:bookmarkStart w:id="253" w:name="nothing-happensbut-why"/>
    <w:p>
      <w:pPr>
        <w:pStyle w:val="Heading3"/>
      </w:pPr>
      <w:r>
        <w:t xml:space="preserve">5. Nothing happens—but why?</w:t>
      </w:r>
    </w:p>
    <w:p>
      <w:pPr>
        <w:pStyle w:val="FirstParagraph"/>
      </w:pPr>
      <w:r>
        <w:t xml:space="preserve">Does the absence of an effect show a free decision not to act?</w:t>
      </w:r>
    </w:p>
    <w:p>
      <w:pPr>
        <w:pStyle w:val="BodyText"/>
      </w:pPr>
      <w:r>
        <w:t xml:space="preserve">Not making a phone call could express consideration, incapacity, or no decision at all. The absent effect does not by itself establish a deliberate decision.</w:t>
      </w:r>
    </w:p>
    <w:bookmarkStart w:id="237" w:name="deliberate-capable-restraint"/>
    <w:p>
      <w:pPr>
        <w:pStyle w:val="Heading4"/>
      </w:pPr>
      <w:r>
        <w:t xml:space="preserve">5.1. Deliberate, capable restraint</w:t>
      </w:r>
    </w:p>
    <w:p>
      <w:pPr>
        <w:pStyle w:val="FirstParagraph"/>
      </w:pPr>
      <w:r>
        <w:t xml:space="preserve">Status: finite example</w:t>
      </w:r>
    </w:p>
    <w:p>
      <w:pPr>
        <w:pStyle w:val="BodyText"/>
      </w:pPr>
      <w:r>
        <w:t xml:space="preserve">Deliberately refraining needs positive explanatory facts.</w:t>
      </w:r>
    </w:p>
    <w:bookmarkStart w:id="226" w:name="what-differs-in-this-example-10"/>
    <w:p>
      <w:pPr>
        <w:pStyle w:val="Heading5"/>
      </w:pPr>
      <w:r>
        <w:t xml:space="preserve">What differs in this example</w:t>
      </w:r>
    </w:p>
    <w:p>
      <w:pPr>
        <w:pStyle w:val="Compact"/>
        <w:numPr>
          <w:ilvl w:val="0"/>
          <w:numId w:val="1031"/>
        </w:numPr>
      </w:pPr>
      <w:r>
        <w:t xml:space="preserve">A deliberate exercise of restraint</w:t>
      </w:r>
    </w:p>
    <w:p>
      <w:pPr>
        <w:pStyle w:val="Compact"/>
        <w:numPr>
          <w:ilvl w:val="0"/>
          <w:numId w:val="1031"/>
        </w:numPr>
      </w:pPr>
      <w:r>
        <w:t xml:space="preserve">An absent outward effect</w:t>
      </w:r>
    </w:p>
    <w:bookmarkEnd w:id="226"/>
    <w:bookmarkStart w:id="227" w:name="checks-against-the-assigned-records-10"/>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no-call</w:t>
            </w:r>
          </w:p>
        </w:tc>
        <w:tc>
          <w:tcPr>
            <w:tcW w:type="dxa" w:w="2749"/>
          </w:tcPr>
          <w:p>
            <w:pPr>
              <w:pStyle w:val="BodyText"/>
              <w:keepNext w:val="0"/>
              <w:spacing w:after="80" w:line="252" w:lineRule="auto"/>
              <w:jc w:val="left"/>
            </w:pPr>
            <w:r>
              <w:rPr>
                <w:rFonts w:ascii="Calibri" w:hAnsi="Calibri"/>
                <w:sz w:val="17"/>
              </w:rPr>
              <w:t xml:space="preserve">The call is absent</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The absence is stated in the example; it is not inferred from a missing label.</w:t>
            </w:r>
          </w:p>
        </w:tc>
      </w:tr>
      <w:tr>
        <w:tc>
          <w:tcPr>
            <w:tcW w:type="dxa" w:w="1689"/>
          </w:tcPr>
          <w:p>
            <w:pPr>
              <w:pStyle w:val="BodyText"/>
              <w:keepNext w:val="0"/>
              <w:spacing w:after="80" w:line="252" w:lineRule="auto"/>
              <w:jc w:val="left"/>
            </w:pPr>
            <w:r>
              <w:rPr>
                <w:rFonts w:ascii="Calibri" w:hAnsi="Calibri"/>
                <w:sz w:val="17"/>
              </w:rPr>
              <w:t xml:space="preserve">capacity</w:t>
            </w:r>
          </w:p>
        </w:tc>
        <w:tc>
          <w:tcPr>
            <w:tcW w:type="dxa" w:w="2749"/>
          </w:tcPr>
          <w:p>
            <w:pPr>
              <w:pStyle w:val="BodyText"/>
              <w:keepNext w:val="0"/>
              <w:spacing w:after="80" w:line="252" w:lineRule="auto"/>
              <w:jc w:val="left"/>
            </w:pPr>
            <w:r>
              <w:rPr>
                <w:rFonts w:ascii="Calibri" w:hAnsi="Calibri"/>
                <w:sz w:val="17"/>
              </w:rPr>
              <w:t xml:space="preserve">The alternative act is within recorded capacity</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Capacity is distinct from an absent effect.</w:t>
            </w:r>
          </w:p>
        </w:tc>
      </w:tr>
      <w:tr>
        <w:tc>
          <w:tcPr>
            <w:tcW w:type="dxa" w:w="1689"/>
          </w:tcPr>
          <w:p>
            <w:pPr>
              <w:pStyle w:val="BodyText"/>
              <w:keepNext w:val="0"/>
              <w:spacing w:after="80" w:line="252" w:lineRule="auto"/>
              <w:jc w:val="left"/>
            </w:pPr>
            <w:r>
              <w:rPr>
                <w:rFonts w:ascii="Calibri" w:hAnsi="Calibri"/>
                <w:sz w:val="17"/>
              </w:rPr>
              <w:t xml:space="preserve">deliberate-restraint</w:t>
            </w:r>
          </w:p>
        </w:tc>
        <w:tc>
          <w:tcPr>
            <w:tcW w:type="dxa" w:w="2749"/>
          </w:tcPr>
          <w:p>
            <w:pPr>
              <w:pStyle w:val="BodyText"/>
              <w:keepNext w:val="0"/>
              <w:spacing w:after="80" w:line="252" w:lineRule="auto"/>
              <w:jc w:val="left"/>
            </w:pPr>
            <w:r>
              <w:rPr>
                <w:rFonts w:ascii="Calibri" w:hAnsi="Calibri"/>
                <w:sz w:val="17"/>
              </w:rPr>
              <w:t xml:space="preserve">Controlled, intentional restraint is recorded</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The positive facts of a choice must be supplied in addition to nonoccurrence.</w:t>
            </w:r>
          </w:p>
        </w:tc>
      </w:tr>
    </w:tbl>
    <w:bookmarkEnd w:id="227"/>
    <w:bookmarkStart w:id="228" w:name="what-the-assigned-facts-support-10"/>
    <w:p>
      <w:pPr>
        <w:pStyle w:val="Heading5"/>
      </w:pPr>
      <w:r>
        <w:t xml:space="preserve">What the assigned facts support</w:t>
      </w:r>
    </w:p>
    <w:p>
      <w:pPr>
        <w:pStyle w:val="Compact"/>
        <w:numPr>
          <w:ilvl w:val="0"/>
          <w:numId w:val="1032"/>
        </w:numPr>
      </w:pPr>
      <w:r>
        <w:t xml:space="preserve">The assigned facts establish a deliberate decision to refrain.</w:t>
      </w:r>
    </w:p>
    <w:bookmarkEnd w:id="228"/>
    <w:bookmarkStart w:id="229" w:name="what-they-do-not-establish-10"/>
    <w:p>
      <w:pPr>
        <w:pStyle w:val="Heading5"/>
      </w:pPr>
      <w:r>
        <w:t xml:space="preserve">What they do not establish</w:t>
      </w:r>
    </w:p>
    <w:p>
      <w:pPr>
        <w:pStyle w:val="Compact"/>
        <w:numPr>
          <w:ilvl w:val="0"/>
          <w:numId w:val="1033"/>
        </w:numPr>
      </w:pPr>
      <w:r>
        <w:t xml:space="preserve">No-creation freedom cannot be inferred from an empty effect-set alone.</w:t>
      </w:r>
    </w:p>
    <w:p>
      <w:pPr>
        <w:pStyle w:val="Compact"/>
        <w:numPr>
          <w:ilvl w:val="0"/>
          <w:numId w:val="1033"/>
        </w:numPr>
      </w:pPr>
      <w:r>
        <w:t xml:space="preserve">The finite example does not establish divine modal alternatives or a theory of negative facts.</w:t>
      </w:r>
    </w:p>
    <w:bookmarkEnd w:id="229"/>
    <w:bookmarkStart w:id="236" w:name="assigned-facts-10"/>
    <w:p>
      <w:pPr>
        <w:pStyle w:val="Heading5"/>
      </w:pPr>
      <w:r>
        <w:t xml:space="preserve">Assigned facts</w:t>
      </w:r>
    </w:p>
    <w:bookmarkStart w:id="230" w:name="acts-1-assigned-record-1"/>
    <w:p>
      <w:pPr>
        <w:pStyle w:val="Heading6"/>
      </w:pPr>
      <w:r>
        <w:t xml:space="preserve">acts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["friend","restraint","no-call","t0"]</w:t>
            </w:r>
          </w:p>
        </w:tc>
      </w:tr>
    </w:tbl>
    <w:bookmarkEnd w:id="230"/>
    <w:bookmarkStart w:id="231" w:name="control-1-assigned-record"/>
    <w:p>
      <w:pPr>
        <w:pStyle w:val="Heading6"/>
      </w:pPr>
      <w:r>
        <w:t xml:space="preserve">control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["friend","restraint","t0"]</w:t>
            </w:r>
          </w:p>
        </w:tc>
      </w:tr>
    </w:tbl>
    <w:bookmarkEnd w:id="231"/>
    <w:bookmarkStart w:id="232" w:name="intentions-1-assigned-record"/>
    <w:p>
      <w:pPr>
        <w:pStyle w:val="Heading6"/>
      </w:pPr>
      <w:r>
        <w:t xml:space="preserve">intentions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["friend","restraint","respect-rest","t0"]</w:t>
            </w:r>
          </w:p>
        </w:tc>
      </w:tr>
    </w:tbl>
    <w:bookmarkEnd w:id="232"/>
    <w:bookmarkStart w:id="233" w:name="capacity-1-assigned-record"/>
    <w:p>
      <w:pPr>
        <w:pStyle w:val="Heading6"/>
      </w:pPr>
      <w:r>
        <w:t xml:space="preserve">capacity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["friend","phone-call","t0"]</w:t>
            </w:r>
          </w:p>
        </w:tc>
      </w:tr>
    </w:tbl>
    <w:bookmarkEnd w:id="233"/>
    <w:bookmarkStart w:id="234" w:name="selection-1-assigned-record"/>
    <w:p>
      <w:pPr>
        <w:pStyle w:val="Heading6"/>
      </w:pPr>
      <w:r>
        <w:t xml:space="preserve">selection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["friend","forbearance","t0"]</w:t>
            </w:r>
          </w:p>
        </w:tc>
      </w:tr>
    </w:tbl>
    <w:bookmarkEnd w:id="234"/>
    <w:bookmarkStart w:id="235" w:name="absence-1-assigned-record"/>
    <w:p>
      <w:pPr>
        <w:pStyle w:val="Heading6"/>
      </w:pPr>
      <w:r>
        <w:t xml:space="preserve">absence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["phone-call","t0"]</w:t>
            </w:r>
          </w:p>
        </w:tc>
      </w:tr>
    </w:tbl>
    <w:p>
      <w:pPr>
        <w:pStyle w:val="BodyText"/>
      </w:pPr>
      <w:r>
        <w:t xml:space="preserve">No records supplied in these categories: intrinsic, relations, roles, realizers, representation, truth, access, warrant, knowledge, constituents, dependence. Missing records mean “not supplied in this display,” rather than universal nonexistence.</w:t>
      </w:r>
    </w:p>
    <w:bookmarkEnd w:id="235"/>
    <w:bookmarkEnd w:id="236"/>
    <w:bookmarkEnd w:id="237"/>
    <w:bookmarkStart w:id="245" w:name="unable-to-make-the-call"/>
    <w:p>
      <w:pPr>
        <w:pStyle w:val="Heading4"/>
      </w:pPr>
      <w:r>
        <w:t xml:space="preserve">5.2. Unable to make the call</w:t>
      </w:r>
    </w:p>
    <w:p>
      <w:pPr>
        <w:pStyle w:val="FirstParagraph"/>
      </w:pPr>
      <w:r>
        <w:t xml:space="preserve">Status: finite example</w:t>
      </w:r>
    </w:p>
    <w:p>
      <w:pPr>
        <w:pStyle w:val="BodyText"/>
      </w:pPr>
      <w:r>
        <w:t xml:space="preserve">An absent outcome does not establish a free decision.</w:t>
      </w:r>
    </w:p>
    <w:bookmarkStart w:id="238" w:name="what-differs-in-this-example-11"/>
    <w:p>
      <w:pPr>
        <w:pStyle w:val="Heading5"/>
      </w:pPr>
      <w:r>
        <w:t xml:space="preserve">What differs in this example</w:t>
      </w:r>
    </w:p>
    <w:p>
      <w:pPr>
        <w:pStyle w:val="Compact"/>
        <w:numPr>
          <w:ilvl w:val="0"/>
          <w:numId w:val="1034"/>
        </w:numPr>
      </w:pPr>
      <w:r>
        <w:t xml:space="preserve">An absent outward effect</w:t>
      </w:r>
    </w:p>
    <w:bookmarkEnd w:id="238"/>
    <w:bookmarkStart w:id="239" w:name="checks-against-the-assigned-records-11"/>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no-call</w:t>
            </w:r>
          </w:p>
        </w:tc>
        <w:tc>
          <w:tcPr>
            <w:tcW w:type="dxa" w:w="2749"/>
          </w:tcPr>
          <w:p>
            <w:pPr>
              <w:pStyle w:val="BodyText"/>
              <w:keepNext w:val="0"/>
              <w:spacing w:after="80" w:line="252" w:lineRule="auto"/>
              <w:jc w:val="left"/>
            </w:pPr>
            <w:r>
              <w:rPr>
                <w:rFonts w:ascii="Calibri" w:hAnsi="Calibri"/>
                <w:sz w:val="17"/>
              </w:rPr>
              <w:t xml:space="preserve">The call is absent</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The absence is stated in the example; it is not inferred from a missing label.</w:t>
            </w:r>
          </w:p>
        </w:tc>
      </w:tr>
      <w:tr>
        <w:tc>
          <w:tcPr>
            <w:tcW w:type="dxa" w:w="1689"/>
          </w:tcPr>
          <w:p>
            <w:pPr>
              <w:pStyle w:val="BodyText"/>
              <w:keepNext w:val="0"/>
              <w:spacing w:after="80" w:line="252" w:lineRule="auto"/>
              <w:jc w:val="left"/>
            </w:pPr>
            <w:r>
              <w:rPr>
                <w:rFonts w:ascii="Calibri" w:hAnsi="Calibri"/>
                <w:sz w:val="17"/>
              </w:rPr>
              <w:t xml:space="preserve">capacity</w:t>
            </w:r>
          </w:p>
        </w:tc>
        <w:tc>
          <w:tcPr>
            <w:tcW w:type="dxa" w:w="2749"/>
          </w:tcPr>
          <w:p>
            <w:pPr>
              <w:pStyle w:val="BodyText"/>
              <w:keepNext w:val="0"/>
              <w:spacing w:after="80" w:line="252" w:lineRule="auto"/>
              <w:jc w:val="left"/>
            </w:pPr>
            <w:r>
              <w:rPr>
                <w:rFonts w:ascii="Calibri" w:hAnsi="Calibri"/>
                <w:sz w:val="17"/>
              </w:rPr>
              <w:t xml:space="preserve">The alternative act is within recorded capacity</w:t>
            </w:r>
          </w:p>
        </w:tc>
        <w:tc>
          <w:tcPr>
            <w:tcW w:type="dxa" w:w="2749"/>
          </w:tcPr>
          <w:p>
            <w:pPr>
              <w:pStyle w:val="BodyText"/>
              <w:keepNext w:val="0"/>
              <w:spacing w:after="80" w:line="252" w:lineRule="auto"/>
              <w:jc w:val="left"/>
            </w:pPr>
            <w:r>
              <w:rPr>
                <w:rFonts w:ascii="Calibri" w:hAnsi="Calibri"/>
                <w:sz w:val="17"/>
              </w:rPr>
              <w:t xml:space="preserve">Not supplied</w:t>
            </w:r>
          </w:p>
        </w:tc>
        <w:tc>
          <w:tcPr>
            <w:tcW w:type="dxa" w:w="2749"/>
          </w:tcPr>
          <w:p>
            <w:pPr>
              <w:pStyle w:val="BodyText"/>
              <w:keepNext w:val="0"/>
              <w:spacing w:after="80" w:line="252" w:lineRule="auto"/>
              <w:jc w:val="left"/>
            </w:pPr>
            <w:r>
              <w:rPr>
                <w:rFonts w:ascii="Calibri" w:hAnsi="Calibri"/>
                <w:sz w:val="17"/>
              </w:rPr>
              <w:t xml:space="preserve">Capacity is distinct from an absent effect.</w:t>
            </w:r>
          </w:p>
        </w:tc>
      </w:tr>
      <w:tr>
        <w:tc>
          <w:tcPr>
            <w:tcW w:type="dxa" w:w="1689"/>
          </w:tcPr>
          <w:p>
            <w:pPr>
              <w:pStyle w:val="BodyText"/>
              <w:keepNext w:val="0"/>
              <w:spacing w:after="80" w:line="252" w:lineRule="auto"/>
              <w:jc w:val="left"/>
            </w:pPr>
            <w:r>
              <w:rPr>
                <w:rFonts w:ascii="Calibri" w:hAnsi="Calibri"/>
                <w:sz w:val="17"/>
              </w:rPr>
              <w:t xml:space="preserve">deliberate-restraint</w:t>
            </w:r>
          </w:p>
        </w:tc>
        <w:tc>
          <w:tcPr>
            <w:tcW w:type="dxa" w:w="2749"/>
          </w:tcPr>
          <w:p>
            <w:pPr>
              <w:pStyle w:val="BodyText"/>
              <w:keepNext w:val="0"/>
              <w:spacing w:after="80" w:line="252" w:lineRule="auto"/>
              <w:jc w:val="left"/>
            </w:pPr>
            <w:r>
              <w:rPr>
                <w:rFonts w:ascii="Calibri" w:hAnsi="Calibri"/>
                <w:sz w:val="17"/>
              </w:rPr>
              <w:t xml:space="preserve">Controlled, intentional restraint is recorded</w:t>
            </w:r>
          </w:p>
        </w:tc>
        <w:tc>
          <w:tcPr>
            <w:tcW w:type="dxa" w:w="2749"/>
          </w:tcPr>
          <w:p>
            <w:pPr>
              <w:pStyle w:val="BodyText"/>
              <w:keepNext w:val="0"/>
              <w:spacing w:after="80" w:line="252" w:lineRule="auto"/>
              <w:jc w:val="left"/>
            </w:pPr>
            <w:r>
              <w:rPr>
                <w:rFonts w:ascii="Calibri" w:hAnsi="Calibri"/>
                <w:sz w:val="17"/>
              </w:rPr>
              <w:t xml:space="preserve">Not supplied</w:t>
            </w:r>
          </w:p>
        </w:tc>
        <w:tc>
          <w:tcPr>
            <w:tcW w:type="dxa" w:w="2749"/>
          </w:tcPr>
          <w:p>
            <w:pPr>
              <w:pStyle w:val="BodyText"/>
              <w:keepNext w:val="0"/>
              <w:spacing w:after="80" w:line="252" w:lineRule="auto"/>
              <w:jc w:val="left"/>
            </w:pPr>
            <w:r>
              <w:rPr>
                <w:rFonts w:ascii="Calibri" w:hAnsi="Calibri"/>
                <w:sz w:val="17"/>
              </w:rPr>
              <w:t xml:space="preserve">The positive facts of a choice must be supplied in addition to nonoccurrence.</w:t>
            </w:r>
          </w:p>
        </w:tc>
      </w:tr>
    </w:tbl>
    <w:bookmarkEnd w:id="239"/>
    <w:bookmarkStart w:id="240" w:name="what-the-assigned-facts-support-11"/>
    <w:p>
      <w:pPr>
        <w:pStyle w:val="Heading5"/>
      </w:pPr>
      <w:r>
        <w:t xml:space="preserve">What the assigned facts support</w:t>
      </w:r>
    </w:p>
    <w:p>
      <w:pPr>
        <w:pStyle w:val="Compact"/>
        <w:numPr>
          <w:ilvl w:val="0"/>
          <w:numId w:val="1035"/>
        </w:numPr>
      </w:pPr>
      <w:r>
        <w:t xml:space="preserve">The absent call does not establish a capable, intentional decision not to call.</w:t>
      </w:r>
    </w:p>
    <w:bookmarkEnd w:id="240"/>
    <w:bookmarkStart w:id="241" w:name="what-they-do-not-establish-11"/>
    <w:p>
      <w:pPr>
        <w:pStyle w:val="Heading5"/>
      </w:pPr>
      <w:r>
        <w:t xml:space="preserve">What they do not establish</w:t>
      </w:r>
    </w:p>
    <w:p>
      <w:pPr>
        <w:pStyle w:val="Compact"/>
        <w:numPr>
          <w:ilvl w:val="0"/>
          <w:numId w:val="1036"/>
        </w:numPr>
      </w:pPr>
      <w:r>
        <w:t xml:space="preserve">No-creation freedom cannot be inferred from an empty effect-set alone.</w:t>
      </w:r>
    </w:p>
    <w:p>
      <w:pPr>
        <w:pStyle w:val="Compact"/>
        <w:numPr>
          <w:ilvl w:val="0"/>
          <w:numId w:val="1036"/>
        </w:numPr>
      </w:pPr>
      <w:r>
        <w:t xml:space="preserve">The finite example does not establish divine modal alternatives or a theory of negative facts.</w:t>
      </w:r>
    </w:p>
    <w:bookmarkEnd w:id="241"/>
    <w:bookmarkStart w:id="244" w:name="assigned-facts-11"/>
    <w:p>
      <w:pPr>
        <w:pStyle w:val="Heading5"/>
      </w:pPr>
      <w:r>
        <w:t xml:space="preserve">Assigned facts</w:t>
      </w:r>
    </w:p>
    <w:bookmarkStart w:id="242" w:name="intrinsic-1-assigned-record-1"/>
    <w:p>
      <w:pPr>
        <w:pStyle w:val="Heading6"/>
      </w:pPr>
      <w:r>
        <w:t xml:space="preserve">intrinsic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["friend","phone-access","unavailable","t0"]</w:t>
            </w:r>
          </w:p>
        </w:tc>
      </w:tr>
    </w:tbl>
    <w:bookmarkEnd w:id="242"/>
    <w:bookmarkStart w:id="243" w:name="absence-1-assigned-record-1"/>
    <w:p>
      <w:pPr>
        <w:pStyle w:val="Heading6"/>
      </w:pPr>
      <w:r>
        <w:t xml:space="preserve">absence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["phone-call","t0"]</w:t>
            </w:r>
          </w:p>
        </w:tc>
      </w:tr>
    </w:tbl>
    <w:p>
      <w:pPr>
        <w:pStyle w:val="BodyText"/>
      </w:pPr>
      <w:r>
        <w:t xml:space="preserve">No records supplied in these categories: relations, acts, control, intentions, roles, realizers, representation, truth, access, warrant, knowledge, capacity, selection, constituents, dependence. Missing records mean “not supplied in this display,” rather than universal nonexistence.</w:t>
      </w:r>
    </w:p>
    <w:bookmarkEnd w:id="243"/>
    <w:bookmarkEnd w:id="244"/>
    <w:bookmarkEnd w:id="245"/>
    <w:bookmarkStart w:id="252" w:name="only-the-absent-call-is-recorded"/>
    <w:p>
      <w:pPr>
        <w:pStyle w:val="Heading4"/>
      </w:pPr>
      <w:r>
        <w:t xml:space="preserve">5.3. Only the absent call is recorded</w:t>
      </w:r>
    </w:p>
    <w:p>
      <w:pPr>
        <w:pStyle w:val="FirstParagraph"/>
      </w:pPr>
      <w:r>
        <w:t xml:space="preserve">Status: finite example</w:t>
      </w:r>
    </w:p>
    <w:p>
      <w:pPr>
        <w:pStyle w:val="BodyText"/>
      </w:pPr>
      <w:r>
        <w:t xml:space="preserve">An absent outcome does not establish a free decision.</w:t>
      </w:r>
    </w:p>
    <w:bookmarkStart w:id="246" w:name="what-differs-in-this-example-12"/>
    <w:p>
      <w:pPr>
        <w:pStyle w:val="Heading5"/>
      </w:pPr>
      <w:r>
        <w:t xml:space="preserve">What differs in this example</w:t>
      </w:r>
    </w:p>
    <w:p>
      <w:pPr>
        <w:pStyle w:val="Compact"/>
        <w:numPr>
          <w:ilvl w:val="0"/>
          <w:numId w:val="1037"/>
        </w:numPr>
      </w:pPr>
      <w:r>
        <w:t xml:space="preserve">An absent outward effect</w:t>
      </w:r>
    </w:p>
    <w:bookmarkEnd w:id="246"/>
    <w:bookmarkStart w:id="247" w:name="checks-against-the-assigned-records-12"/>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no-call</w:t>
            </w:r>
          </w:p>
        </w:tc>
        <w:tc>
          <w:tcPr>
            <w:tcW w:type="dxa" w:w="2749"/>
          </w:tcPr>
          <w:p>
            <w:pPr>
              <w:pStyle w:val="BodyText"/>
              <w:keepNext w:val="0"/>
              <w:spacing w:after="80" w:line="252" w:lineRule="auto"/>
              <w:jc w:val="left"/>
            </w:pPr>
            <w:r>
              <w:rPr>
                <w:rFonts w:ascii="Calibri" w:hAnsi="Calibri"/>
                <w:sz w:val="17"/>
              </w:rPr>
              <w:t xml:space="preserve">The call is absent</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The absence is stated in the example; it is not inferred from a missing label.</w:t>
            </w:r>
          </w:p>
        </w:tc>
      </w:tr>
      <w:tr>
        <w:tc>
          <w:tcPr>
            <w:tcW w:type="dxa" w:w="1689"/>
          </w:tcPr>
          <w:p>
            <w:pPr>
              <w:pStyle w:val="BodyText"/>
              <w:keepNext w:val="0"/>
              <w:spacing w:after="80" w:line="252" w:lineRule="auto"/>
              <w:jc w:val="left"/>
            </w:pPr>
            <w:r>
              <w:rPr>
                <w:rFonts w:ascii="Calibri" w:hAnsi="Calibri"/>
                <w:sz w:val="17"/>
              </w:rPr>
              <w:t xml:space="preserve">capacity</w:t>
            </w:r>
          </w:p>
        </w:tc>
        <w:tc>
          <w:tcPr>
            <w:tcW w:type="dxa" w:w="2749"/>
          </w:tcPr>
          <w:p>
            <w:pPr>
              <w:pStyle w:val="BodyText"/>
              <w:keepNext w:val="0"/>
              <w:spacing w:after="80" w:line="252" w:lineRule="auto"/>
              <w:jc w:val="left"/>
            </w:pPr>
            <w:r>
              <w:rPr>
                <w:rFonts w:ascii="Calibri" w:hAnsi="Calibri"/>
                <w:sz w:val="17"/>
              </w:rPr>
              <w:t xml:space="preserve">The alternative act is within recorded capacity</w:t>
            </w:r>
          </w:p>
        </w:tc>
        <w:tc>
          <w:tcPr>
            <w:tcW w:type="dxa" w:w="2749"/>
          </w:tcPr>
          <w:p>
            <w:pPr>
              <w:pStyle w:val="BodyText"/>
              <w:keepNext w:val="0"/>
              <w:spacing w:after="80" w:line="252" w:lineRule="auto"/>
              <w:jc w:val="left"/>
            </w:pPr>
            <w:r>
              <w:rPr>
                <w:rFonts w:ascii="Calibri" w:hAnsi="Calibri"/>
                <w:sz w:val="17"/>
              </w:rPr>
              <w:t xml:space="preserve">Not supplied</w:t>
            </w:r>
          </w:p>
        </w:tc>
        <w:tc>
          <w:tcPr>
            <w:tcW w:type="dxa" w:w="2749"/>
          </w:tcPr>
          <w:p>
            <w:pPr>
              <w:pStyle w:val="BodyText"/>
              <w:keepNext w:val="0"/>
              <w:spacing w:after="80" w:line="252" w:lineRule="auto"/>
              <w:jc w:val="left"/>
            </w:pPr>
            <w:r>
              <w:rPr>
                <w:rFonts w:ascii="Calibri" w:hAnsi="Calibri"/>
                <w:sz w:val="17"/>
              </w:rPr>
              <w:t xml:space="preserve">Capacity is distinct from an absent effect.</w:t>
            </w:r>
          </w:p>
        </w:tc>
      </w:tr>
      <w:tr>
        <w:tc>
          <w:tcPr>
            <w:tcW w:type="dxa" w:w="1689"/>
          </w:tcPr>
          <w:p>
            <w:pPr>
              <w:pStyle w:val="BodyText"/>
              <w:keepNext w:val="0"/>
              <w:spacing w:after="80" w:line="252" w:lineRule="auto"/>
              <w:jc w:val="left"/>
            </w:pPr>
            <w:r>
              <w:rPr>
                <w:rFonts w:ascii="Calibri" w:hAnsi="Calibri"/>
                <w:sz w:val="17"/>
              </w:rPr>
              <w:t xml:space="preserve">deliberate-restraint</w:t>
            </w:r>
          </w:p>
        </w:tc>
        <w:tc>
          <w:tcPr>
            <w:tcW w:type="dxa" w:w="2749"/>
          </w:tcPr>
          <w:p>
            <w:pPr>
              <w:pStyle w:val="BodyText"/>
              <w:keepNext w:val="0"/>
              <w:spacing w:after="80" w:line="252" w:lineRule="auto"/>
              <w:jc w:val="left"/>
            </w:pPr>
            <w:r>
              <w:rPr>
                <w:rFonts w:ascii="Calibri" w:hAnsi="Calibri"/>
                <w:sz w:val="17"/>
              </w:rPr>
              <w:t xml:space="preserve">Controlled, intentional restraint is recorded</w:t>
            </w:r>
          </w:p>
        </w:tc>
        <w:tc>
          <w:tcPr>
            <w:tcW w:type="dxa" w:w="2749"/>
          </w:tcPr>
          <w:p>
            <w:pPr>
              <w:pStyle w:val="BodyText"/>
              <w:keepNext w:val="0"/>
              <w:spacing w:after="80" w:line="252" w:lineRule="auto"/>
              <w:jc w:val="left"/>
            </w:pPr>
            <w:r>
              <w:rPr>
                <w:rFonts w:ascii="Calibri" w:hAnsi="Calibri"/>
                <w:sz w:val="17"/>
              </w:rPr>
              <w:t xml:space="preserve">Not supplied</w:t>
            </w:r>
          </w:p>
        </w:tc>
        <w:tc>
          <w:tcPr>
            <w:tcW w:type="dxa" w:w="2749"/>
          </w:tcPr>
          <w:p>
            <w:pPr>
              <w:pStyle w:val="BodyText"/>
              <w:keepNext w:val="0"/>
              <w:spacing w:after="80" w:line="252" w:lineRule="auto"/>
              <w:jc w:val="left"/>
            </w:pPr>
            <w:r>
              <w:rPr>
                <w:rFonts w:ascii="Calibri" w:hAnsi="Calibri"/>
                <w:sz w:val="17"/>
              </w:rPr>
              <w:t xml:space="preserve">The positive facts of a choice must be supplied in addition to nonoccurrence.</w:t>
            </w:r>
          </w:p>
        </w:tc>
      </w:tr>
    </w:tbl>
    <w:bookmarkEnd w:id="247"/>
    <w:bookmarkStart w:id="248" w:name="what-the-assigned-facts-support-12"/>
    <w:p>
      <w:pPr>
        <w:pStyle w:val="Heading5"/>
      </w:pPr>
      <w:r>
        <w:t xml:space="preserve">What the assigned facts support</w:t>
      </w:r>
    </w:p>
    <w:p>
      <w:pPr>
        <w:pStyle w:val="Compact"/>
        <w:numPr>
          <w:ilvl w:val="0"/>
          <w:numId w:val="1038"/>
        </w:numPr>
      </w:pPr>
      <w:r>
        <w:t xml:space="preserve">The absent call does not establish a capable, intentional decision not to call.</w:t>
      </w:r>
    </w:p>
    <w:bookmarkEnd w:id="248"/>
    <w:bookmarkStart w:id="249" w:name="what-they-do-not-establish-12"/>
    <w:p>
      <w:pPr>
        <w:pStyle w:val="Heading5"/>
      </w:pPr>
      <w:r>
        <w:t xml:space="preserve">What they do not establish</w:t>
      </w:r>
    </w:p>
    <w:p>
      <w:pPr>
        <w:pStyle w:val="Compact"/>
        <w:numPr>
          <w:ilvl w:val="0"/>
          <w:numId w:val="1039"/>
        </w:numPr>
      </w:pPr>
      <w:r>
        <w:t xml:space="preserve">No-creation freedom cannot be inferred from an empty effect-set alone.</w:t>
      </w:r>
    </w:p>
    <w:p>
      <w:pPr>
        <w:pStyle w:val="Compact"/>
        <w:numPr>
          <w:ilvl w:val="0"/>
          <w:numId w:val="1039"/>
        </w:numPr>
      </w:pPr>
      <w:r>
        <w:t xml:space="preserve">The finite example does not establish divine modal alternatives or a theory of negative facts.</w:t>
      </w:r>
    </w:p>
    <w:bookmarkEnd w:id="249"/>
    <w:bookmarkStart w:id="251" w:name="assigned-facts-12"/>
    <w:p>
      <w:pPr>
        <w:pStyle w:val="Heading5"/>
      </w:pPr>
      <w:r>
        <w:t xml:space="preserve">Assigned facts</w:t>
      </w:r>
    </w:p>
    <w:bookmarkStart w:id="250" w:name="absence-1-assigned-record-2"/>
    <w:p>
      <w:pPr>
        <w:pStyle w:val="Heading6"/>
      </w:pPr>
      <w:r>
        <w:t xml:space="preserve">absence — 1 assigned record</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["phone-call","t0"]</w:t>
            </w:r>
          </w:p>
        </w:tc>
      </w:tr>
    </w:tbl>
    <w:p>
      <w:pPr>
        <w:pStyle w:val="BodyText"/>
      </w:pPr>
      <w:r>
        <w:t xml:space="preserve">No records supplied in these categories: intrinsic, relations, acts, control, intentions, roles, realizers, representation, truth, access, warrant, knowledge, capacity, selection, constituents, dependence. Missing records mean “not supplied in this display,” rather than universal nonexistence.</w:t>
      </w:r>
    </w:p>
    <w:bookmarkEnd w:id="250"/>
    <w:bookmarkEnd w:id="251"/>
    <w:bookmarkEnd w:id="252"/>
    <w:bookmarkEnd w:id="253"/>
    <w:bookmarkStart w:id="283" w:name="divine-action-without-intrinsic-change"/>
    <w:p>
      <w:pPr>
        <w:pStyle w:val="Heading3"/>
      </w:pPr>
      <w:r>
        <w:t xml:space="preserve">6. Divine action without intrinsic change?</w:t>
      </w:r>
    </w:p>
    <w:p>
      <w:pPr>
        <w:pStyle w:val="FirstParagraph"/>
      </w:pPr>
      <w:r>
        <w:t xml:space="preserve">How could God freely cause this world rather than another without acquiring a new intrinsic determination?</w:t>
      </w:r>
    </w:p>
    <w:p>
      <w:pPr>
        <w:pStyle w:val="BodyText"/>
      </w:pPr>
      <w:r>
        <w:t xml:space="preserve">This advanced case assigns facts to a disputed relational account of divine action. Its consistency as a display does not establish that the account is metaphysically possible.</w:t>
      </w:r>
    </w:p>
    <w:bookmarkStart w:id="264" w:name="a-relational-account-of-divine-action"/>
    <w:p>
      <w:pPr>
        <w:pStyle w:val="Heading4"/>
      </w:pPr>
      <w:r>
        <w:t xml:space="preserve">6.1. A relational account of divine action</w:t>
      </w:r>
    </w:p>
    <w:p>
      <w:pPr>
        <w:pStyle w:val="FirstParagraph"/>
      </w:pPr>
      <w:r>
        <w:t xml:space="preserve">Status: conditional divine-action model</w:t>
      </w:r>
    </w:p>
    <w:p>
      <w:pPr>
        <w:pStyle w:val="BodyText"/>
      </w:pPr>
      <w:r>
        <w:t xml:space="preserve">A conditional account of divine action, with an explicit argumentative burden.</w:t>
      </w:r>
    </w:p>
    <w:bookmarkStart w:id="254" w:name="what-differs-in-this-example-13"/>
    <w:p>
      <w:pPr>
        <w:pStyle w:val="Heading5"/>
      </w:pPr>
      <w:r>
        <w:t xml:space="preserve">What differs in this example</w:t>
      </w:r>
    </w:p>
    <w:p>
      <w:pPr>
        <w:pStyle w:val="Compact"/>
        <w:numPr>
          <w:ilvl w:val="0"/>
          <w:numId w:val="1040"/>
        </w:numPr>
      </w:pPr>
      <w:r>
        <w:t xml:space="preserve">Intended actions described relationally</w:t>
      </w:r>
    </w:p>
    <w:p>
      <w:pPr>
        <w:pStyle w:val="Compact"/>
        <w:numPr>
          <w:ilvl w:val="0"/>
          <w:numId w:val="1040"/>
        </w:numPr>
      </w:pPr>
      <w:r>
        <w:t xml:space="preserve">Different created outcomes</w:t>
      </w:r>
    </w:p>
    <w:bookmarkEnd w:id="254"/>
    <w:bookmarkStart w:id="255" w:name="checks-against-the-assigned-records-13"/>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profile-invariant</w:t>
            </w:r>
          </w:p>
        </w:tc>
        <w:tc>
          <w:tcPr>
            <w:tcW w:type="dxa" w:w="2749"/>
          </w:tcPr>
          <w:p>
            <w:pPr>
              <w:pStyle w:val="BodyText"/>
              <w:keepNext w:val="0"/>
              <w:spacing w:after="80" w:line="252" w:lineRule="auto"/>
              <w:jc w:val="left"/>
            </w:pPr>
            <w:r>
              <w:rPr>
                <w:rFonts w:ascii="Calibri" w:hAnsi="Calibri"/>
                <w:sz w:val="17"/>
              </w:rPr>
              <w:t xml:space="preserve">The recorded intrinsic features are the same</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Only the displayed intrinsic features are compared. Whether they exhaust intrinsic reality needs another argument.</w:t>
            </w:r>
          </w:p>
        </w:tc>
      </w:tr>
      <w:tr>
        <w:tc>
          <w:tcPr>
            <w:tcW w:type="dxa" w:w="1689"/>
          </w:tcPr>
          <w:p>
            <w:pPr>
              <w:pStyle w:val="BodyText"/>
              <w:keepNext w:val="0"/>
              <w:spacing w:after="80" w:line="252" w:lineRule="auto"/>
              <w:jc w:val="left"/>
            </w:pPr>
            <w:r>
              <w:rPr>
                <w:rFonts w:ascii="Calibri" w:hAnsi="Calibri"/>
                <w:sz w:val="17"/>
              </w:rPr>
              <w:t xml:space="preserve">agent-control</w:t>
            </w:r>
          </w:p>
        </w:tc>
        <w:tc>
          <w:tcPr>
            <w:tcW w:type="dxa" w:w="2749"/>
          </w:tcPr>
          <w:p>
            <w:pPr>
              <w:pStyle w:val="BodyText"/>
              <w:keepNext w:val="0"/>
              <w:spacing w:after="80" w:line="252" w:lineRule="auto"/>
              <w:jc w:val="left"/>
            </w:pPr>
            <w:r>
              <w:rPr>
                <w:rFonts w:ascii="Calibri" w:hAnsi="Calibri"/>
                <w:sz w:val="17"/>
              </w:rPr>
              <w:t xml:space="preserve">Actual actions have control, choice, and intention</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Powers alone do not establish an actual choice. The proposed controlled action is an additional assumption.</w:t>
            </w:r>
          </w:p>
        </w:tc>
      </w:tr>
      <w:tr>
        <w:tc>
          <w:tcPr>
            <w:tcW w:type="dxa" w:w="1689"/>
          </w:tcPr>
          <w:p>
            <w:pPr>
              <w:pStyle w:val="BodyText"/>
              <w:keepNext w:val="0"/>
              <w:spacing w:after="80" w:line="252" w:lineRule="auto"/>
              <w:jc w:val="left"/>
            </w:pPr>
            <w:r>
              <w:rPr>
                <w:rFonts w:ascii="Calibri" w:hAnsi="Calibri"/>
                <w:sz w:val="17"/>
              </w:rPr>
              <w:t xml:space="preserve">local-noncomposition</w:t>
            </w:r>
          </w:p>
        </w:tc>
        <w:tc>
          <w:tcPr>
            <w:tcW w:type="dxa" w:w="2749"/>
          </w:tcPr>
          <w:p>
            <w:pPr>
              <w:pStyle w:val="BodyText"/>
              <w:keepNext w:val="0"/>
              <w:spacing w:after="80" w:line="252" w:lineRule="auto"/>
              <w:jc w:val="left"/>
            </w:pPr>
            <w:r>
              <w:rPr>
                <w:rFonts w:ascii="Calibri" w:hAnsi="Calibri"/>
                <w:sz w:val="17"/>
              </w:rPr>
              <w:t xml:space="preserve">No divine parts or dependence on something else are assigned</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This is an assigned feature, not proof that the interpretation is possible.</w:t>
            </w:r>
          </w:p>
        </w:tc>
      </w:tr>
    </w:tbl>
    <w:bookmarkEnd w:id="255"/>
    <w:bookmarkStart w:id="256" w:name="what-the-assigned-facts-support-13"/>
    <w:p>
      <w:pPr>
        <w:pStyle w:val="Heading5"/>
      </w:pPr>
      <w:r>
        <w:t xml:space="preserve">What the assigned facts support</w:t>
      </w:r>
    </w:p>
    <w:p>
      <w:pPr>
        <w:pStyle w:val="Compact"/>
        <w:numPr>
          <w:ilvl w:val="0"/>
          <w:numId w:val="1041"/>
        </w:numPr>
      </w:pPr>
      <w:r>
        <w:t xml:space="preserve">The interpretation assigns actual controlled and intended actions. The effects alone would not establish those facts.</w:t>
      </w:r>
    </w:p>
    <w:p>
      <w:pPr>
        <w:pStyle w:val="Compact"/>
        <w:numPr>
          <w:ilvl w:val="0"/>
          <w:numId w:val="1041"/>
        </w:numPr>
      </w:pPr>
      <w:r>
        <w:t xml:space="preserve">Different outcomes do not automatically insert parts into God.</w:t>
      </w:r>
    </w:p>
    <w:bookmarkEnd w:id="256"/>
    <w:bookmarkStart w:id="257" w:name="what-they-do-not-establish-13"/>
    <w:p>
      <w:pPr>
        <w:pStyle w:val="Heading5"/>
      </w:pPr>
      <w:r>
        <w:t xml:space="preserve">What they do not establish</w:t>
      </w:r>
    </w:p>
    <w:p>
      <w:pPr>
        <w:pStyle w:val="Compact"/>
        <w:numPr>
          <w:ilvl w:val="0"/>
          <w:numId w:val="1042"/>
        </w:numPr>
      </w:pPr>
      <w:r>
        <w:t xml:space="preserve">Matching example records does not establish genuine metaphysical possibility.</w:t>
      </w:r>
    </w:p>
    <w:p>
      <w:pPr>
        <w:pStyle w:val="Compact"/>
        <w:numPr>
          <w:ilvl w:val="0"/>
          <w:numId w:val="1042"/>
        </w:numPr>
      </w:pPr>
      <w:r>
        <w:t xml:space="preserve">How God can act with a particular intention without an added intrinsic feature remains the central argumentative burden.</w:t>
      </w:r>
    </w:p>
    <w:p>
      <w:pPr>
        <w:pStyle w:val="Compact"/>
        <w:numPr>
          <w:ilvl w:val="0"/>
          <w:numId w:val="1042"/>
        </w:numPr>
      </w:pPr>
      <w:r>
        <w:t xml:space="preserve">Neither absolute underivation, full simplicity, intrinsic invariance, genuine alternatives, nor omniscience is proved here.</w:t>
      </w:r>
    </w:p>
    <w:bookmarkEnd w:id="257"/>
    <w:bookmarkStart w:id="263" w:name="assigned-facts-13"/>
    <w:p>
      <w:pPr>
        <w:pStyle w:val="Heading5"/>
      </w:pPr>
      <w:r>
        <w:t xml:space="preserve">Assigned facts</w:t>
      </w:r>
    </w:p>
    <w:bookmarkStart w:id="258" w:name="intrinsic-2-assigned-records"/>
    <w:p>
      <w:pPr>
        <w:pStyle w:val="Heading6"/>
      </w:pPr>
      <w:r>
        <w:t xml:space="preserve">intrinsic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["source","power","unreceived","wA"]</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["source","power","unreceived","wB"]</w:t>
            </w:r>
          </w:p>
        </w:tc>
      </w:tr>
    </w:tbl>
    <w:bookmarkEnd w:id="258"/>
    <w:bookmarkStart w:id="259" w:name="acts-2-assigned-records-2"/>
    <w:p>
      <w:pPr>
        <w:pStyle w:val="Heading6"/>
      </w:pPr>
      <w:r>
        <w:t xml:space="preserve">acts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["source","exercise-A","creation-A","wA"]</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["source","exercise-B","creation-B","wB"]</w:t>
            </w:r>
          </w:p>
        </w:tc>
      </w:tr>
    </w:tbl>
    <w:bookmarkEnd w:id="259"/>
    <w:bookmarkStart w:id="260" w:name="control-2-assigned-records-1"/>
    <w:p>
      <w:pPr>
        <w:pStyle w:val="Heading6"/>
      </w:pPr>
      <w:r>
        <w:t xml:space="preserve">control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["source","exercise-A","wA"]</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["source","exercise-B","wB"]</w:t>
            </w:r>
          </w:p>
        </w:tc>
      </w:tr>
    </w:tbl>
    <w:bookmarkEnd w:id="260"/>
    <w:bookmarkStart w:id="261" w:name="intentions-2-assigned-records-1"/>
    <w:p>
      <w:pPr>
        <w:pStyle w:val="Heading6"/>
      </w:pPr>
      <w:r>
        <w:t xml:space="preserve">intentions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["source","exercise-A","good-A","wA"]</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["source","exercise-B","good-B","wB"]</w:t>
            </w:r>
          </w:p>
        </w:tc>
      </w:tr>
    </w:tbl>
    <w:bookmarkEnd w:id="261"/>
    <w:bookmarkStart w:id="262" w:name="selection-2-assigned-records"/>
    <w:p>
      <w:pPr>
        <w:pStyle w:val="Heading6"/>
      </w:pPr>
      <w:r>
        <w:t xml:space="preserve">selection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["source","exercise-A","wA"]</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["source","exercise-B","wB"]</w:t>
            </w:r>
          </w:p>
        </w:tc>
      </w:tr>
    </w:tbl>
    <w:p>
      <w:pPr>
        <w:pStyle w:val="BodyText"/>
      </w:pPr>
      <w:r>
        <w:t xml:space="preserve">No records supplied in these categories: relations, roles, realizers, representation, truth, access, warrant, knowledge, capacity, absence, constituents, dependence. Missing records mean “not supplied in this display,” rather than universal nonexistence.</w:t>
      </w:r>
    </w:p>
    <w:bookmarkEnd w:id="262"/>
    <w:bookmarkEnd w:id="263"/>
    <w:bookmarkEnd w:id="264"/>
    <w:bookmarkStart w:id="271" w:name="the-same-powers-alone"/>
    <w:p>
      <w:pPr>
        <w:pStyle w:val="Heading4"/>
      </w:pPr>
      <w:r>
        <w:t xml:space="preserve">6.2. The same powers alone</w:t>
      </w:r>
    </w:p>
    <w:p>
      <w:pPr>
        <w:pStyle w:val="FirstParagraph"/>
      </w:pPr>
      <w:r>
        <w:t xml:space="preserve">Status: conditional divine-action model</w:t>
      </w:r>
    </w:p>
    <w:p>
      <w:pPr>
        <w:pStyle w:val="BodyText"/>
      </w:pPr>
      <w:r>
        <w:t xml:space="preserve">The same powers alone do not identify a choice.</w:t>
      </w:r>
    </w:p>
    <w:bookmarkStart w:id="265" w:name="what-differs-in-this-example-14"/>
    <w:p>
      <w:pPr>
        <w:pStyle w:val="Heading5"/>
      </w:pPr>
      <w:r>
        <w:t xml:space="preserve">What differs in this example</w:t>
      </w:r>
    </w:p>
    <w:p>
      <w:pPr>
        <w:pStyle w:val="Compact"/>
        <w:numPr>
          <w:ilvl w:val="0"/>
          <w:numId w:val="1043"/>
        </w:numPr>
      </w:pPr>
      <w:r>
        <w:t xml:space="preserve">Assigned intrinsic features</w:t>
      </w:r>
    </w:p>
    <w:p>
      <w:pPr>
        <w:pStyle w:val="Compact"/>
        <w:numPr>
          <w:ilvl w:val="0"/>
          <w:numId w:val="1043"/>
        </w:numPr>
      </w:pPr>
      <w:r>
        <w:t xml:space="preserve">No actual choice supplied</w:t>
      </w:r>
    </w:p>
    <w:bookmarkEnd w:id="265"/>
    <w:bookmarkStart w:id="266" w:name="checks-against-the-assigned-records-14"/>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profile-invariant</w:t>
            </w:r>
          </w:p>
        </w:tc>
        <w:tc>
          <w:tcPr>
            <w:tcW w:type="dxa" w:w="2749"/>
          </w:tcPr>
          <w:p>
            <w:pPr>
              <w:pStyle w:val="BodyText"/>
              <w:keepNext w:val="0"/>
              <w:spacing w:after="80" w:line="252" w:lineRule="auto"/>
              <w:jc w:val="left"/>
            </w:pPr>
            <w:r>
              <w:rPr>
                <w:rFonts w:ascii="Calibri" w:hAnsi="Calibri"/>
                <w:sz w:val="17"/>
              </w:rPr>
              <w:t xml:space="preserve">The recorded intrinsic features are the same</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Only the displayed intrinsic features are compared. Whether they exhaust intrinsic reality needs another argument.</w:t>
            </w:r>
          </w:p>
        </w:tc>
      </w:tr>
      <w:tr>
        <w:tc>
          <w:tcPr>
            <w:tcW w:type="dxa" w:w="1689"/>
          </w:tcPr>
          <w:p>
            <w:pPr>
              <w:pStyle w:val="BodyText"/>
              <w:keepNext w:val="0"/>
              <w:spacing w:after="80" w:line="252" w:lineRule="auto"/>
              <w:jc w:val="left"/>
            </w:pPr>
            <w:r>
              <w:rPr>
                <w:rFonts w:ascii="Calibri" w:hAnsi="Calibri"/>
                <w:sz w:val="17"/>
              </w:rPr>
              <w:t xml:space="preserve">agent-control</w:t>
            </w:r>
          </w:p>
        </w:tc>
        <w:tc>
          <w:tcPr>
            <w:tcW w:type="dxa" w:w="2749"/>
          </w:tcPr>
          <w:p>
            <w:pPr>
              <w:pStyle w:val="BodyText"/>
              <w:keepNext w:val="0"/>
              <w:spacing w:after="80" w:line="252" w:lineRule="auto"/>
              <w:jc w:val="left"/>
            </w:pPr>
            <w:r>
              <w:rPr>
                <w:rFonts w:ascii="Calibri" w:hAnsi="Calibri"/>
                <w:sz w:val="17"/>
              </w:rPr>
              <w:t xml:space="preserve">Actual actions have control, choice, and intention</w:t>
            </w:r>
          </w:p>
        </w:tc>
        <w:tc>
          <w:tcPr>
            <w:tcW w:type="dxa" w:w="2749"/>
          </w:tcPr>
          <w:p>
            <w:pPr>
              <w:pStyle w:val="BodyText"/>
              <w:keepNext w:val="0"/>
              <w:spacing w:after="80" w:line="252" w:lineRule="auto"/>
              <w:jc w:val="left"/>
            </w:pPr>
            <w:r>
              <w:rPr>
                <w:rFonts w:ascii="Calibri" w:hAnsi="Calibri"/>
                <w:sz w:val="17"/>
              </w:rPr>
              <w:t xml:space="preserve">Not supplied</w:t>
            </w:r>
          </w:p>
        </w:tc>
        <w:tc>
          <w:tcPr>
            <w:tcW w:type="dxa" w:w="2749"/>
          </w:tcPr>
          <w:p>
            <w:pPr>
              <w:pStyle w:val="BodyText"/>
              <w:keepNext w:val="0"/>
              <w:spacing w:after="80" w:line="252" w:lineRule="auto"/>
              <w:jc w:val="left"/>
            </w:pPr>
            <w:r>
              <w:rPr>
                <w:rFonts w:ascii="Calibri" w:hAnsi="Calibri"/>
                <w:sz w:val="17"/>
              </w:rPr>
              <w:t xml:space="preserve">Powers alone do not establish an actual choice. The proposed controlled action is an additional assumption.</w:t>
            </w:r>
          </w:p>
        </w:tc>
      </w:tr>
      <w:tr>
        <w:tc>
          <w:tcPr>
            <w:tcW w:type="dxa" w:w="1689"/>
          </w:tcPr>
          <w:p>
            <w:pPr>
              <w:pStyle w:val="BodyText"/>
              <w:keepNext w:val="0"/>
              <w:spacing w:after="80" w:line="252" w:lineRule="auto"/>
              <w:jc w:val="left"/>
            </w:pPr>
            <w:r>
              <w:rPr>
                <w:rFonts w:ascii="Calibri" w:hAnsi="Calibri"/>
                <w:sz w:val="17"/>
              </w:rPr>
              <w:t xml:space="preserve">local-noncomposition</w:t>
            </w:r>
          </w:p>
        </w:tc>
        <w:tc>
          <w:tcPr>
            <w:tcW w:type="dxa" w:w="2749"/>
          </w:tcPr>
          <w:p>
            <w:pPr>
              <w:pStyle w:val="BodyText"/>
              <w:keepNext w:val="0"/>
              <w:spacing w:after="80" w:line="252" w:lineRule="auto"/>
              <w:jc w:val="left"/>
            </w:pPr>
            <w:r>
              <w:rPr>
                <w:rFonts w:ascii="Calibri" w:hAnsi="Calibri"/>
                <w:sz w:val="17"/>
              </w:rPr>
              <w:t xml:space="preserve">No divine parts or dependence on something else are assigned</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This is an assigned feature, not proof that the interpretation is possible.</w:t>
            </w:r>
          </w:p>
        </w:tc>
      </w:tr>
    </w:tbl>
    <w:bookmarkEnd w:id="266"/>
    <w:bookmarkStart w:id="267" w:name="what-the-assigned-facts-support-14"/>
    <w:p>
      <w:pPr>
        <w:pStyle w:val="Heading5"/>
      </w:pPr>
      <w:r>
        <w:t xml:space="preserve">What the assigned facts support</w:t>
      </w:r>
    </w:p>
    <w:p>
      <w:pPr>
        <w:pStyle w:val="Compact"/>
        <w:numPr>
          <w:ilvl w:val="0"/>
          <w:numId w:val="1044"/>
        </w:numPr>
      </w:pPr>
      <w:r>
        <w:t xml:space="preserve">The same intrinsic powers do not by themselves identify an actual choice.</w:t>
      </w:r>
    </w:p>
    <w:p>
      <w:pPr>
        <w:pStyle w:val="Compact"/>
        <w:numPr>
          <w:ilvl w:val="0"/>
          <w:numId w:val="1044"/>
        </w:numPr>
      </w:pPr>
      <w:r>
        <w:t xml:space="preserve">Different outcomes do not automatically insert parts into God.</w:t>
      </w:r>
    </w:p>
    <w:bookmarkEnd w:id="267"/>
    <w:bookmarkStart w:id="268" w:name="what-they-do-not-establish-14"/>
    <w:p>
      <w:pPr>
        <w:pStyle w:val="Heading5"/>
      </w:pPr>
      <w:r>
        <w:t xml:space="preserve">What they do not establish</w:t>
      </w:r>
    </w:p>
    <w:p>
      <w:pPr>
        <w:pStyle w:val="Compact"/>
        <w:numPr>
          <w:ilvl w:val="0"/>
          <w:numId w:val="1045"/>
        </w:numPr>
      </w:pPr>
      <w:r>
        <w:t xml:space="preserve">Matching example records does not establish genuine metaphysical possibility.</w:t>
      </w:r>
    </w:p>
    <w:p>
      <w:pPr>
        <w:pStyle w:val="Compact"/>
        <w:numPr>
          <w:ilvl w:val="0"/>
          <w:numId w:val="1045"/>
        </w:numPr>
      </w:pPr>
      <w:r>
        <w:t xml:space="preserve">How God can act with a particular intention without an added intrinsic feature remains the central argumentative burden.</w:t>
      </w:r>
    </w:p>
    <w:p>
      <w:pPr>
        <w:pStyle w:val="Compact"/>
        <w:numPr>
          <w:ilvl w:val="0"/>
          <w:numId w:val="1045"/>
        </w:numPr>
      </w:pPr>
      <w:r>
        <w:t xml:space="preserve">Neither absolute underivation, full simplicity, intrinsic invariance, genuine alternatives, nor omniscience is proved here.</w:t>
      </w:r>
    </w:p>
    <w:bookmarkEnd w:id="268"/>
    <w:bookmarkStart w:id="270" w:name="assigned-facts-14"/>
    <w:p>
      <w:pPr>
        <w:pStyle w:val="Heading5"/>
      </w:pPr>
      <w:r>
        <w:t xml:space="preserve">Assigned facts</w:t>
      </w:r>
    </w:p>
    <w:bookmarkStart w:id="269" w:name="intrinsic-2-assigned-records-1"/>
    <w:p>
      <w:pPr>
        <w:pStyle w:val="Heading6"/>
      </w:pPr>
      <w:r>
        <w:t xml:space="preserve">intrinsic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["source","power","unreceived","wA"]</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["source","power","unreceived","wB"]</w:t>
            </w:r>
          </w:p>
        </w:tc>
      </w:tr>
    </w:tbl>
    <w:p>
      <w:pPr>
        <w:pStyle w:val="BodyText"/>
      </w:pPr>
      <w:r>
        <w:t xml:space="preserve">No records supplied in these categories: relations, acts, control, intentions, roles, realizers, representation, truth, access, warrant, knowledge, capacity, selection, absence, constituents, dependence. Missing records mean “not supplied in this display,” rather than universal nonexistence.</w:t>
      </w:r>
    </w:p>
    <w:bookmarkEnd w:id="269"/>
    <w:bookmarkEnd w:id="270"/>
    <w:bookmarkEnd w:id="271"/>
    <w:bookmarkStart w:id="282" w:name="an-intrinsic-intention-also-differs"/>
    <w:p>
      <w:pPr>
        <w:pStyle w:val="Heading4"/>
      </w:pPr>
      <w:r>
        <w:t xml:space="preserve">6.3. An intrinsic intention also differs</w:t>
      </w:r>
    </w:p>
    <w:p>
      <w:pPr>
        <w:pStyle w:val="FirstParagraph"/>
      </w:pPr>
      <w:r>
        <w:t xml:space="preserve">Status: conditional divine-action model</w:t>
      </w:r>
    </w:p>
    <w:p>
      <w:pPr>
        <w:pStyle w:val="BodyText"/>
      </w:pPr>
      <w:r>
        <w:t xml:space="preserve">A rival account: intrinsic differences without assigned proper parts.</w:t>
      </w:r>
    </w:p>
    <w:bookmarkStart w:id="272" w:name="what-differs-in-this-example-15"/>
    <w:p>
      <w:pPr>
        <w:pStyle w:val="Heading5"/>
      </w:pPr>
      <w:r>
        <w:t xml:space="preserve">What differs in this example</w:t>
      </w:r>
    </w:p>
    <w:p>
      <w:pPr>
        <w:pStyle w:val="Compact"/>
        <w:numPr>
          <w:ilvl w:val="0"/>
          <w:numId w:val="1046"/>
        </w:numPr>
      </w:pPr>
      <w:r>
        <w:t xml:space="preserve">An intrinsic intentional difference</w:t>
      </w:r>
    </w:p>
    <w:p>
      <w:pPr>
        <w:pStyle w:val="Compact"/>
        <w:numPr>
          <w:ilvl w:val="0"/>
          <w:numId w:val="1046"/>
        </w:numPr>
      </w:pPr>
      <w:r>
        <w:t xml:space="preserve">Different created outcomes</w:t>
      </w:r>
    </w:p>
    <w:bookmarkEnd w:id="272"/>
    <w:bookmarkStart w:id="273" w:name="checks-against-the-assigned-records-15"/>
    <w:p>
      <w:pPr>
        <w:pStyle w:val="Heading5"/>
      </w:pPr>
      <w:r>
        <w:t xml:space="preserve">Checks against the assigned records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Check ID</w:t>
            </w:r>
          </w:p>
        </w:tc>
        <w:tc>
          <w:tcPr>
            <w:tcW w:type="dxa" w:w="2749"/>
            <w:shd w:fill="EAE5DA"/>
          </w:tcPr>
          <w:p>
            <w:pPr>
              <w:pStyle w:val="BodyText"/>
              <w:keepNext w:val="0"/>
              <w:spacing w:after="80" w:line="252" w:lineRule="auto"/>
              <w:jc w:val="left"/>
            </w:pPr>
            <w:r>
              <w:rPr>
                <w:rFonts w:ascii="Calibri" w:hAnsi="Calibri"/>
                <w:b/>
                <w:sz w:val="17"/>
              </w:rPr>
              <w:t xml:space="preserve">Check</w:t>
            </w:r>
          </w:p>
        </w:tc>
        <w:tc>
          <w:tcPr>
            <w:tcW w:type="dxa" w:w="2749"/>
            <w:shd w:fill="EAE5DA"/>
          </w:tcPr>
          <w:p>
            <w:pPr>
              <w:pStyle w:val="BodyText"/>
              <w:keepNext w:val="0"/>
              <w:spacing w:after="80" w:line="252" w:lineRule="auto"/>
              <w:jc w:val="left"/>
            </w:pPr>
            <w:r>
              <w:rPr>
                <w:rFonts w:ascii="Calibri" w:hAnsi="Calibri"/>
                <w:b/>
                <w:sz w:val="17"/>
              </w:rPr>
              <w:t xml:space="preserve">Present / not supplied</w:t>
            </w:r>
          </w:p>
        </w:tc>
        <w:tc>
          <w:tcPr>
            <w:tcW w:type="dxa" w:w="2749"/>
            <w:shd w:fill="EAE5DA"/>
          </w:tcPr>
          <w:p>
            <w:pPr>
              <w:pStyle w:val="BodyText"/>
              <w:keepNext w:val="0"/>
              <w:spacing w:after="80" w:line="252" w:lineRule="auto"/>
              <w:jc w:val="left"/>
            </w:pPr>
            <w:r>
              <w:rPr>
                <w:rFonts w:ascii="Calibri" w:hAnsi="Calibri"/>
                <w:b/>
                <w:sz w:val="17"/>
              </w:rPr>
              <w:t xml:space="preserve">Detail</w:t>
            </w:r>
          </w:p>
        </w:tc>
      </w:tr>
      <w:tr>
        <w:tc>
          <w:tcPr>
            <w:tcW w:type="dxa" w:w="1689"/>
          </w:tcPr>
          <w:p>
            <w:pPr>
              <w:pStyle w:val="BodyText"/>
              <w:keepNext w:val="0"/>
              <w:spacing w:after="80" w:line="252" w:lineRule="auto"/>
              <w:jc w:val="left"/>
            </w:pPr>
            <w:r>
              <w:rPr>
                <w:rFonts w:ascii="Calibri" w:hAnsi="Calibri"/>
                <w:sz w:val="17"/>
              </w:rPr>
              <w:t xml:space="preserve">profile-invariant</w:t>
            </w:r>
          </w:p>
        </w:tc>
        <w:tc>
          <w:tcPr>
            <w:tcW w:type="dxa" w:w="2749"/>
          </w:tcPr>
          <w:p>
            <w:pPr>
              <w:pStyle w:val="BodyText"/>
              <w:keepNext w:val="0"/>
              <w:spacing w:after="80" w:line="252" w:lineRule="auto"/>
              <w:jc w:val="left"/>
            </w:pPr>
            <w:r>
              <w:rPr>
                <w:rFonts w:ascii="Calibri" w:hAnsi="Calibri"/>
                <w:sz w:val="17"/>
              </w:rPr>
              <w:t xml:space="preserve">The recorded intrinsic features are the same</w:t>
            </w:r>
          </w:p>
        </w:tc>
        <w:tc>
          <w:tcPr>
            <w:tcW w:type="dxa" w:w="2749"/>
          </w:tcPr>
          <w:p>
            <w:pPr>
              <w:pStyle w:val="BodyText"/>
              <w:keepNext w:val="0"/>
              <w:spacing w:after="80" w:line="252" w:lineRule="auto"/>
              <w:jc w:val="left"/>
            </w:pPr>
            <w:r>
              <w:rPr>
                <w:rFonts w:ascii="Calibri" w:hAnsi="Calibri"/>
                <w:sz w:val="17"/>
              </w:rPr>
              <w:t xml:space="preserve">Not supplied</w:t>
            </w:r>
          </w:p>
        </w:tc>
        <w:tc>
          <w:tcPr>
            <w:tcW w:type="dxa" w:w="2749"/>
          </w:tcPr>
          <w:p>
            <w:pPr>
              <w:pStyle w:val="BodyText"/>
              <w:keepNext w:val="0"/>
              <w:spacing w:after="80" w:line="252" w:lineRule="auto"/>
              <w:jc w:val="left"/>
            </w:pPr>
            <w:r>
              <w:rPr>
                <w:rFonts w:ascii="Calibri" w:hAnsi="Calibri"/>
                <w:sz w:val="17"/>
              </w:rPr>
              <w:t xml:space="preserve">Only the displayed intrinsic features are compared. Whether they exhaust intrinsic reality needs another argument.</w:t>
            </w:r>
          </w:p>
        </w:tc>
      </w:tr>
      <w:tr>
        <w:tc>
          <w:tcPr>
            <w:tcW w:type="dxa" w:w="1689"/>
          </w:tcPr>
          <w:p>
            <w:pPr>
              <w:pStyle w:val="BodyText"/>
              <w:keepNext w:val="0"/>
              <w:spacing w:after="80" w:line="252" w:lineRule="auto"/>
              <w:jc w:val="left"/>
            </w:pPr>
            <w:r>
              <w:rPr>
                <w:rFonts w:ascii="Calibri" w:hAnsi="Calibri"/>
                <w:sz w:val="17"/>
              </w:rPr>
              <w:t xml:space="preserve">agent-control</w:t>
            </w:r>
          </w:p>
        </w:tc>
        <w:tc>
          <w:tcPr>
            <w:tcW w:type="dxa" w:w="2749"/>
          </w:tcPr>
          <w:p>
            <w:pPr>
              <w:pStyle w:val="BodyText"/>
              <w:keepNext w:val="0"/>
              <w:spacing w:after="80" w:line="252" w:lineRule="auto"/>
              <w:jc w:val="left"/>
            </w:pPr>
            <w:r>
              <w:rPr>
                <w:rFonts w:ascii="Calibri" w:hAnsi="Calibri"/>
                <w:sz w:val="17"/>
              </w:rPr>
              <w:t xml:space="preserve">Actual actions have control, choice, and intention</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Powers alone do not establish an actual choice. The proposed controlled action is an additional assumption.</w:t>
            </w:r>
          </w:p>
        </w:tc>
      </w:tr>
      <w:tr>
        <w:tc>
          <w:tcPr>
            <w:tcW w:type="dxa" w:w="1689"/>
          </w:tcPr>
          <w:p>
            <w:pPr>
              <w:pStyle w:val="BodyText"/>
              <w:keepNext w:val="0"/>
              <w:spacing w:after="80" w:line="252" w:lineRule="auto"/>
              <w:jc w:val="left"/>
            </w:pPr>
            <w:r>
              <w:rPr>
                <w:rFonts w:ascii="Calibri" w:hAnsi="Calibri"/>
                <w:sz w:val="17"/>
              </w:rPr>
              <w:t xml:space="preserve">local-noncomposition</w:t>
            </w:r>
          </w:p>
        </w:tc>
        <w:tc>
          <w:tcPr>
            <w:tcW w:type="dxa" w:w="2749"/>
          </w:tcPr>
          <w:p>
            <w:pPr>
              <w:pStyle w:val="BodyText"/>
              <w:keepNext w:val="0"/>
              <w:spacing w:after="80" w:line="252" w:lineRule="auto"/>
              <w:jc w:val="left"/>
            </w:pPr>
            <w:r>
              <w:rPr>
                <w:rFonts w:ascii="Calibri" w:hAnsi="Calibri"/>
                <w:sz w:val="17"/>
              </w:rPr>
              <w:t xml:space="preserve">No divine parts or dependence on something else are assigned</w:t>
            </w:r>
          </w:p>
        </w:tc>
        <w:tc>
          <w:tcPr>
            <w:tcW w:type="dxa" w:w="2749"/>
          </w:tcPr>
          <w:p>
            <w:pPr>
              <w:pStyle w:val="BodyText"/>
              <w:keepNext w:val="0"/>
              <w:spacing w:after="80" w:line="252" w:lineRule="auto"/>
              <w:jc w:val="left"/>
            </w:pPr>
            <w:r>
              <w:rPr>
                <w:rFonts w:ascii="Calibri" w:hAnsi="Calibri"/>
                <w:sz w:val="17"/>
              </w:rPr>
              <w:t xml:space="preserve">Present</w:t>
            </w:r>
          </w:p>
        </w:tc>
        <w:tc>
          <w:tcPr>
            <w:tcW w:type="dxa" w:w="2749"/>
          </w:tcPr>
          <w:p>
            <w:pPr>
              <w:pStyle w:val="BodyText"/>
              <w:keepNext w:val="0"/>
              <w:spacing w:after="80" w:line="252" w:lineRule="auto"/>
              <w:jc w:val="left"/>
            </w:pPr>
            <w:r>
              <w:rPr>
                <w:rFonts w:ascii="Calibri" w:hAnsi="Calibri"/>
                <w:sz w:val="17"/>
              </w:rPr>
              <w:t xml:space="preserve">This is an assigned feature, not proof that the interpretation is possible.</w:t>
            </w:r>
          </w:p>
        </w:tc>
      </w:tr>
    </w:tbl>
    <w:bookmarkEnd w:id="273"/>
    <w:bookmarkStart w:id="274" w:name="what-the-assigned-facts-support-15"/>
    <w:p>
      <w:pPr>
        <w:pStyle w:val="Heading5"/>
      </w:pPr>
      <w:r>
        <w:t xml:space="preserve">What the assigned facts support</w:t>
      </w:r>
    </w:p>
    <w:p>
      <w:pPr>
        <w:pStyle w:val="Compact"/>
        <w:numPr>
          <w:ilvl w:val="0"/>
          <w:numId w:val="1047"/>
        </w:numPr>
      </w:pPr>
      <w:r>
        <w:t xml:space="preserve">The interpretation assigns actual controlled and intended actions. The effects alone would not establish those facts.</w:t>
      </w:r>
    </w:p>
    <w:p>
      <w:pPr>
        <w:pStyle w:val="Compact"/>
        <w:numPr>
          <w:ilvl w:val="0"/>
          <w:numId w:val="1047"/>
        </w:numPr>
      </w:pPr>
      <w:r>
        <w:t xml:space="preserve">Different intrinsic intentions do not, in these records, introduce proper intrinsic parts.</w:t>
      </w:r>
    </w:p>
    <w:bookmarkEnd w:id="274"/>
    <w:bookmarkStart w:id="275" w:name="what-they-do-not-establish-15"/>
    <w:p>
      <w:pPr>
        <w:pStyle w:val="Heading5"/>
      </w:pPr>
      <w:r>
        <w:t xml:space="preserve">What they do not establish</w:t>
      </w:r>
    </w:p>
    <w:p>
      <w:pPr>
        <w:pStyle w:val="Compact"/>
        <w:numPr>
          <w:ilvl w:val="0"/>
          <w:numId w:val="1048"/>
        </w:numPr>
      </w:pPr>
      <w:r>
        <w:t xml:space="preserve">Matching example records does not establish genuine metaphysical possibility.</w:t>
      </w:r>
    </w:p>
    <w:p>
      <w:pPr>
        <w:pStyle w:val="Compact"/>
        <w:numPr>
          <w:ilvl w:val="0"/>
          <w:numId w:val="1048"/>
        </w:numPr>
      </w:pPr>
      <w:r>
        <w:t xml:space="preserve">How God can act with a particular intention without an added intrinsic feature remains the central argumentative burden.</w:t>
      </w:r>
    </w:p>
    <w:p>
      <w:pPr>
        <w:pStyle w:val="Compact"/>
        <w:numPr>
          <w:ilvl w:val="0"/>
          <w:numId w:val="1048"/>
        </w:numPr>
      </w:pPr>
      <w:r>
        <w:t xml:space="preserve">Neither absolute underivation, full simplicity, intrinsic invariance, genuine alternatives, nor omniscience is proved here.</w:t>
      </w:r>
    </w:p>
    <w:bookmarkEnd w:id="275"/>
    <w:bookmarkStart w:id="281" w:name="assigned-facts-15"/>
    <w:p>
      <w:pPr>
        <w:pStyle w:val="Heading5"/>
      </w:pPr>
      <w:r>
        <w:t xml:space="preserve">Assigned facts</w:t>
      </w:r>
    </w:p>
    <w:bookmarkStart w:id="276" w:name="intrinsic-4-assigned-records-1"/>
    <w:p>
      <w:pPr>
        <w:pStyle w:val="Heading6"/>
      </w:pPr>
      <w:r>
        <w:t xml:space="preserve">intrinsic — 4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["source","power","unreceived","wA"]</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["source","power","unreceived","wB"]</w:t>
            </w:r>
          </w:p>
        </w:tc>
      </w:tr>
      <w:tr>
        <w:tc>
          <w:tcPr>
            <w:tcW w:type="dxa" w:w="2484"/>
          </w:tcPr>
          <w:p>
            <w:pPr>
              <w:pStyle w:val="BodyText"/>
              <w:keepNext w:val="0"/>
              <w:spacing w:after="80" w:line="252" w:lineRule="auto"/>
              <w:jc w:val="left"/>
            </w:pPr>
            <w:r>
              <w:rPr>
                <w:rFonts w:ascii="Calibri" w:hAnsi="Calibri"/>
                <w:sz w:val="17"/>
              </w:rPr>
              <w:t xml:space="preserve">3</w:t>
            </w:r>
          </w:p>
        </w:tc>
        <w:tc>
          <w:tcPr>
            <w:tcW w:type="dxa" w:w="7452"/>
          </w:tcPr>
          <w:p>
            <w:pPr>
              <w:pStyle w:val="BodyText"/>
              <w:keepNext w:val="0"/>
              <w:spacing w:after="80" w:line="252" w:lineRule="auto"/>
              <w:jc w:val="left"/>
            </w:pPr>
            <w:r>
              <w:rPr>
                <w:rFonts w:ascii="Calibri" w:hAnsi="Calibri"/>
                <w:sz w:val="17"/>
              </w:rPr>
              <w:t xml:space="preserve">["source","intrinsic-intention","A","wA"]</w:t>
            </w:r>
          </w:p>
        </w:tc>
      </w:tr>
      <w:tr>
        <w:tc>
          <w:tcPr>
            <w:tcW w:type="dxa" w:w="2484"/>
          </w:tcPr>
          <w:p>
            <w:pPr>
              <w:pStyle w:val="BodyText"/>
              <w:keepNext w:val="0"/>
              <w:spacing w:after="80" w:line="252" w:lineRule="auto"/>
              <w:jc w:val="left"/>
            </w:pPr>
            <w:r>
              <w:rPr>
                <w:rFonts w:ascii="Calibri" w:hAnsi="Calibri"/>
                <w:sz w:val="17"/>
              </w:rPr>
              <w:t xml:space="preserve">4</w:t>
            </w:r>
          </w:p>
        </w:tc>
        <w:tc>
          <w:tcPr>
            <w:tcW w:type="dxa" w:w="7452"/>
          </w:tcPr>
          <w:p>
            <w:pPr>
              <w:pStyle w:val="BodyText"/>
              <w:keepNext w:val="0"/>
              <w:spacing w:after="80" w:line="252" w:lineRule="auto"/>
              <w:jc w:val="left"/>
            </w:pPr>
            <w:r>
              <w:rPr>
                <w:rFonts w:ascii="Calibri" w:hAnsi="Calibri"/>
                <w:sz w:val="17"/>
              </w:rPr>
              <w:t xml:space="preserve">["source","intrinsic-intention","B","wB"]</w:t>
            </w:r>
          </w:p>
        </w:tc>
      </w:tr>
    </w:tbl>
    <w:bookmarkEnd w:id="276"/>
    <w:bookmarkStart w:id="277" w:name="acts-2-assigned-records-3"/>
    <w:p>
      <w:pPr>
        <w:pStyle w:val="Heading6"/>
      </w:pPr>
      <w:r>
        <w:t xml:space="preserve">acts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["source","exercise-A","creation-A","wA"]</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["source","exercise-B","creation-B","wB"]</w:t>
            </w:r>
          </w:p>
        </w:tc>
      </w:tr>
    </w:tbl>
    <w:bookmarkEnd w:id="277"/>
    <w:bookmarkStart w:id="278" w:name="control-2-assigned-records-2"/>
    <w:p>
      <w:pPr>
        <w:pStyle w:val="Heading6"/>
      </w:pPr>
      <w:r>
        <w:t xml:space="preserve">control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["source","exercise-A","wA"]</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["source","exercise-B","wB"]</w:t>
            </w:r>
          </w:p>
        </w:tc>
      </w:tr>
    </w:tbl>
    <w:bookmarkEnd w:id="278"/>
    <w:bookmarkStart w:id="279" w:name="intentions-2-assigned-records-2"/>
    <w:p>
      <w:pPr>
        <w:pStyle w:val="Heading6"/>
      </w:pPr>
      <w:r>
        <w:t xml:space="preserve">intentions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["source","exercise-A","good-A","wA"]</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["source","exercise-B","good-B","wB"]</w:t>
            </w:r>
          </w:p>
        </w:tc>
      </w:tr>
    </w:tbl>
    <w:bookmarkEnd w:id="279"/>
    <w:bookmarkStart w:id="280" w:name="selection-2-assigned-records-1"/>
    <w:p>
      <w:pPr>
        <w:pStyle w:val="Heading6"/>
      </w:pPr>
      <w:r>
        <w:t xml:space="preserve">selection — 2 assigned records</w:t>
      </w:r>
    </w:p>
    <w:tbl>
      <w:tblPr>
        <w:tblStyle w:val="TableGrid"/>
        <w:tblW w:type="dxa" w:w="9936"/>
        <w:jc w:val="left"/>
        <w:tblLayout w:type="fixed"/>
        <w:tblLook w:firstRow="1" w:lastRow="0" w:firstColumn="0" w:lastColumn="0" w:noHBand="0" w:noVBand="0" w:val="0020"/>
      </w:tblPr>
      <w:tblGrid>
        <w:gridCol w:w="2484"/>
        <w:gridCol w:w="7452"/>
      </w:tblGrid>
      <w:tr>
        <w:trPr>
          <w:tblHeader w:val="true"/>
        </w:trPr>
        <w:tc>
          <w:tcPr>
            <w:tcW w:type="dxa" w:w="2484"/>
            <w:shd w:fill="EAE5DA"/>
          </w:tcPr>
          <w:p>
            <w:pPr>
              <w:pStyle w:val="BodyText"/>
              <w:keepNext w:val="0"/>
              <w:spacing w:after="80" w:line="252" w:lineRule="auto"/>
              <w:jc w:val="left"/>
            </w:pPr>
            <w:r>
              <w:rPr>
                <w:rFonts w:ascii="Calibri" w:hAnsi="Calibri"/>
                <w:b/>
                <w:sz w:val="17"/>
              </w:rPr>
              <w:t xml:space="preserve">Record</w:t>
            </w:r>
          </w:p>
        </w:tc>
        <w:tc>
          <w:tcPr>
            <w:tcW w:type="dxa" w:w="7452"/>
            <w:shd w:fill="EAE5DA"/>
          </w:tcPr>
          <w:p>
            <w:pPr>
              <w:pStyle w:val="BodyText"/>
              <w:keepNext w:val="0"/>
              <w:spacing w:after="80" w:line="252" w:lineRule="auto"/>
              <w:jc w:val="left"/>
            </w:pPr>
            <w:r>
              <w:rPr>
                <w:rFonts w:ascii="Calibri" w:hAnsi="Calibri"/>
                <w:b/>
                <w:sz w:val="17"/>
              </w:rPr>
              <w:t xml:space="preserve">Values, in their original order</w:t>
            </w:r>
          </w:p>
        </w:tc>
      </w:tr>
      <w:tr>
        <w:tc>
          <w:tcPr>
            <w:tcW w:type="dxa" w:w="2484"/>
          </w:tcPr>
          <w:p>
            <w:pPr>
              <w:pStyle w:val="BodyText"/>
              <w:keepNext w:val="0"/>
              <w:spacing w:after="80" w:line="252" w:lineRule="auto"/>
              <w:jc w:val="left"/>
            </w:pPr>
            <w:r>
              <w:rPr>
                <w:rFonts w:ascii="Calibri" w:hAnsi="Calibri"/>
                <w:sz w:val="17"/>
              </w:rPr>
              <w:t xml:space="preserve">1</w:t>
            </w:r>
          </w:p>
        </w:tc>
        <w:tc>
          <w:tcPr>
            <w:tcW w:type="dxa" w:w="7452"/>
          </w:tcPr>
          <w:p>
            <w:pPr>
              <w:pStyle w:val="BodyText"/>
              <w:keepNext w:val="0"/>
              <w:spacing w:after="80" w:line="252" w:lineRule="auto"/>
              <w:jc w:val="left"/>
            </w:pPr>
            <w:r>
              <w:rPr>
                <w:rFonts w:ascii="Calibri" w:hAnsi="Calibri"/>
                <w:sz w:val="17"/>
              </w:rPr>
              <w:t xml:space="preserve">["source","exercise-A","wA"]</w:t>
            </w:r>
          </w:p>
        </w:tc>
      </w:tr>
      <w:tr>
        <w:tc>
          <w:tcPr>
            <w:tcW w:type="dxa" w:w="2484"/>
          </w:tcPr>
          <w:p>
            <w:pPr>
              <w:pStyle w:val="BodyText"/>
              <w:keepNext w:val="0"/>
              <w:spacing w:after="80" w:line="252" w:lineRule="auto"/>
              <w:jc w:val="left"/>
            </w:pPr>
            <w:r>
              <w:rPr>
                <w:rFonts w:ascii="Calibri" w:hAnsi="Calibri"/>
                <w:sz w:val="17"/>
              </w:rPr>
              <w:t xml:space="preserve">2</w:t>
            </w:r>
          </w:p>
        </w:tc>
        <w:tc>
          <w:tcPr>
            <w:tcW w:type="dxa" w:w="7452"/>
          </w:tcPr>
          <w:p>
            <w:pPr>
              <w:pStyle w:val="BodyText"/>
              <w:keepNext w:val="0"/>
              <w:spacing w:after="80" w:line="252" w:lineRule="auto"/>
              <w:jc w:val="left"/>
            </w:pPr>
            <w:r>
              <w:rPr>
                <w:rFonts w:ascii="Calibri" w:hAnsi="Calibri"/>
                <w:sz w:val="17"/>
              </w:rPr>
              <w:t xml:space="preserve">["source","exercise-B","wB"]</w:t>
            </w:r>
          </w:p>
        </w:tc>
      </w:tr>
    </w:tbl>
    <w:p>
      <w:pPr>
        <w:pStyle w:val="BodyText"/>
      </w:pPr>
      <w:r>
        <w:t xml:space="preserve">No records supplied in these categories: relations, roles, realizers, representation, truth, access, warrant, knowledge, capacity, absence, constituents, dependence. Missing records mean “not supplied in this display,” rather than universal nonexistence.</w:t>
      </w:r>
    </w:p>
    <w:bookmarkEnd w:id="280"/>
    <w:bookmarkEnd w:id="281"/>
    <w:bookmarkEnd w:id="282"/>
    <w:bookmarkEnd w:id="283"/>
    <w:bookmarkEnd w:id="284"/>
    <w:p>
      <w:pPr>
        <w:pStyle w:val="Heading1"/>
      </w:pPr>
      <w:r>
        <w:t xml:space="preserve">Appendix A — real-difference-report.md</w:t>
      </w:r>
    </w:p>
    <w:p>
      <w:pPr>
        <w:pStyle w:val="FirstParagraph"/>
      </w:pPr>
      <w:r>
        <w:t xml:space="preserve">Original research file: https:/​/​participation-​6o4.​pages.​dev/​research/​real-​difference-​report.​md</w:t>
      </w:r>
    </w:p>
    <w:bookmarkStart w:id="313" w:name="X8d53801ff91e3031c70c2f140fd0c53862b0ae0"/>
    <w:p>
      <w:pPr>
        <w:pStyle w:val="Heading2"/>
      </w:pPr>
      <w:r>
        <w:t xml:space="preserve">Divine Agency: Simplicity and Free Creation</w:t>
      </w:r>
    </w:p>
    <w:p>
      <w:pPr>
        <w:pStyle w:val="FirstParagraph"/>
      </w:pPr>
      <w:r>
        <w:t xml:space="preserve">Part III of the Participation research atlas.</w:t>
      </w:r>
    </w:p>
    <w:p>
      <w:pPr>
        <w:pStyle w:val="BodyText"/>
      </w:pPr>
      <w:r>
        <w:t xml:space="preserve">Live page: https:/​/​participation-​6o4.​pages.​dev/​real-​difference/​</w:t>
      </w:r>
    </w:p>
    <w:p>
      <w:pPr>
        <w:pStyle w:val="BodyText"/>
      </w:pPr>
      <w:r>
        <w:t xml:space="preserve">Constructive proposal, not a source-existence proof or a definition of doctrine.</w:t>
      </w:r>
    </w:p>
    <w:bookmarkStart w:id="285" w:name="divine-action-and-real-difference"/>
    <w:p>
      <w:pPr>
        <w:pStyle w:val="Heading3"/>
      </w:pPr>
      <w:r>
        <w:t xml:space="preserve">00. Divine action and real difference</w:t>
      </w:r>
    </w:p>
    <w:p>
      <w:pPr>
        <w:pStyle w:val="FirstParagraph"/>
      </w:pPr>
      <w:r>
        <w:t xml:space="preserve">CONSTRUCTIVE CONTINUATION</w:t>
      </w:r>
    </w:p>
    <w:p>
      <w:pPr>
        <w:pStyle w:val="BodyText"/>
      </w:pPr>
      <w:r>
        <w:t xml:space="preserve">How can created outcomes and divine intentions differ without making God dependent on creation?</w:t>
      </w:r>
    </w:p>
    <w:p>
      <w:pPr>
        <w:pStyle w:val="BodyText"/>
      </w:pPr>
      <w:hyperlink r:id="rId21">
        <w:r>
          <w:rPr>
            <w:rStyle w:val="Hyperlink"/>
          </w:rPr>
          <w:t xml:space="preserve">Part I</w:t>
        </w:r>
      </w:hyperlink>
      <w:r>
        <w:t xml:space="preserve"> </w:t>
      </w:r>
      <w:r>
        <w:t xml:space="preserve">developed a conditional grammar of participation: finite creatures can depend upon and manifest an underived source without partitioning, exhausting, or completing it.</w:t>
      </w:r>
      <w:r>
        <w:t xml:space="preserve"> </w:t>
      </w:r>
      <w:hyperlink r:id="rId22">
        <w:r>
          <w:rPr>
            <w:rStyle w:val="Hyperlink"/>
          </w:rPr>
          <w:t xml:space="preserve">Part II</w:t>
        </w:r>
      </w:hyperlink>
      <w:r>
        <w:t xml:space="preserve"> </w:t>
      </w:r>
      <w:r>
        <w:t xml:space="preserve">separated the further arguments needed for simplicity, genuine alternatives, intelligent agency, and knowledge. Inexhaustibility alone establishes none of those stronger claims.</w:t>
      </w:r>
    </w:p>
    <w:p>
      <w:pPr>
        <w:pStyle w:val="BodyText"/>
      </w:pPr>
      <w:r>
        <w:t xml:space="preserve">This page asks how creation can be an actual, intentional action of God: not merely something that happens while God possesses the power to cause it. Its central distinction is simple: being determinate is not the same as being made determinate by something else. An underived source need not be featureless. But calling its action determinate does not yet explain why it is this action rather than another.</w:t>
      </w:r>
    </w:p>
    <w:p>
      <w:pPr>
        <w:pStyle w:val="BodyText"/>
      </w:pPr>
      <w:r>
        <w:t xml:space="preserve">How can God freely and knowingly create this world rather than another while God’s intrinsic actuality, his own being, remains the same across those alternatives?</w:t>
      </w:r>
    </w:p>
    <w:p>
      <w:pPr>
        <w:pStyle w:val="BodyText"/>
      </w:pPr>
      <w:r>
        <w:t xml:space="preserve">We distinguish what realizes a difference, what explains it, what could have differed, how it becomes known, and what good it fulfills. Participation connects those questions through real received possession; it does not answer all of them by itself. The underived source and its intrinsic invariance remain independently argued commitments. The answer developed here is a constructive proposal, not a seventh proof of simplicity or a deduction of Christianity.</w:t>
      </w:r>
    </w:p>
    <w:bookmarkEnd w:id="285"/>
    <w:bookmarkStart w:id="286" w:name="what-differs-and-what-explains-it"/>
    <w:p>
      <w:pPr>
        <w:pStyle w:val="Heading3"/>
      </w:pPr>
      <w:r>
        <w:t xml:space="preserve">01. What differs, and what explains it?</w:t>
      </w:r>
    </w:p>
    <w:p>
      <w:pPr>
        <w:pStyle w:val="FirstParagraph"/>
      </w:pPr>
      <w:r>
        <w:t xml:space="preserve">A METHOD FOR TESTING EXPLANATIONS</w:t>
      </w:r>
    </w:p>
    <w:p>
      <w:pPr>
        <w:pStyle w:val="BodyText"/>
      </w:pPr>
      <w:r>
        <w:t xml:space="preserve">A difference in meaning, an intrinsic constituent, and a real relation require different explanations.</w:t>
      </w:r>
    </w:p>
    <w:p>
      <w:pPr>
        <w:pStyle w:val="BodyText"/>
      </w:pPr>
      <w:r>
        <w:t xml:space="preserve">Ask four questions: What differs? Whose feature or relationship is it? What explains it? How could it be known? A wax impression has a shape. A giver has an intention. A gift enters a relationship. A reader understands a sign. Explaining one fact does not automatically explain the others.</w:t>
      </w:r>
    </w:p>
    <w:p>
      <w:pPr>
        <w:pStyle w:val="BodyText"/>
      </w:pPr>
      <w:r>
        <w:t xml:space="preserve">Different predicates need not require different concrete realizers. Wisdom and power differ in meaning; it does not follow merely from that difference that they are realized by distinct parts in God. This blocks an invalid inference, rather than proving that one actuality does realize every divine perfection. That positive claim needs an account of the perfections and their compatible realization.</w:t>
      </w:r>
    </w:p>
    <w:p>
      <w:pPr>
        <w:pStyle w:val="BodyText"/>
      </w:pPr>
      <w:r>
        <w:t xml:space="preserve">A real relation is likewise more than a convenient description. A gift’s direction toward this recipient can belong to the full action without the recipient supplying the giver with its power. But it remains necessary to distinguish the action’s identity, its explanation, and the agent’s control. A difference in recipients alone cannot explain different intentions.</w:t>
      </w:r>
    </w:p>
    <w:p>
      <w:pPr>
        <w:pStyle w:val="BodyText"/>
      </w:pPr>
      <w:r>
        <w:t xml:space="preserve">Intrinsic concerns something’s own being; relational concerns it in relation to another. A primitive intrinsic difference, if coherent, need not automatically be a proper part. A relational difference need not automatically be intentional. The method therefore classifies differences before drawing conclusions from them; it does not make either category harmless by definition.</w:t>
      </w:r>
    </w:p>
    <w:bookmarkEnd w:id="286"/>
    <w:bookmarkStart w:id="287" w:name="change-the-facts-not-just-the-labels"/>
    <w:p>
      <w:pPr>
        <w:pStyle w:val="Heading3"/>
      </w:pPr>
      <w:r>
        <w:t xml:space="preserve">02. Change the facts, not just the labels</w:t>
      </w:r>
    </w:p>
    <w:p>
      <w:pPr>
        <w:pStyle w:val="FirstParagraph"/>
      </w:pPr>
      <w:r>
        <w:t xml:space="preserve">EXAMPLE INSPECTOR · NOT A PROOF</w:t>
      </w:r>
    </w:p>
    <w:p>
      <w:pPr>
        <w:pStyle w:val="BodyText"/>
      </w:pPr>
      <w:r>
        <w:t xml:space="preserve">Six comparisons expose what an explanation must supply.</w:t>
      </w:r>
    </w:p>
    <w:p>
      <w:pPr>
        <w:pStyle w:val="BodyText"/>
      </w:pPr>
      <w:r>
        <w:t xml:space="preserve">The finite cases establish distinctions, rather than proving that God remains unchanged. A lamp can keep the same radiant power while other properties change; a human’s intentions can differ intrinsically. The advanced case expressly assumes a disputed relational account of divine action and shows what remains to be defended.</w:t>
      </w:r>
    </w:p>
    <w:p>
      <w:pPr>
        <w:pStyle w:val="BodyText"/>
      </w:pPr>
      <w:r>
        <w:t xml:space="preserve">The six cases and their assigned facts are described in the</w:t>
      </w:r>
      <w:r>
        <w:t xml:space="preserve"> </w:t>
      </w:r>
      <w:hyperlink r:id="rId129">
        <w:r>
          <w:rPr>
            <w:rStyle w:val="Hyperlink"/>
          </w:rPr>
          <w:t xml:space="preserve">formal audit</w:t>
        </w:r>
      </w:hyperlink>
      <w:r>
        <w:t xml:space="preserve">. The rest of this article is readable without JavaScript.</w:t>
      </w:r>
    </w:p>
    <w:bookmarkEnd w:id="287"/>
    <w:bookmarkStart w:id="288" w:name="an-action-is-more-than-its-outcome"/>
    <w:p>
      <w:pPr>
        <w:pStyle w:val="Heading3"/>
      </w:pPr>
      <w:r>
        <w:t xml:space="preserve">03. An action is more than its outcome</w:t>
      </w:r>
    </w:p>
    <w:p>
      <w:pPr>
        <w:pStyle w:val="FirstParagraph"/>
      </w:pPr>
      <w:r>
        <w:t xml:space="preserve">COMPARATIVE ARGUMENT + CONDITIONAL PROPOSAL</w:t>
      </w:r>
    </w:p>
    <w:p>
      <w:pPr>
        <w:pStyle w:val="BodyText"/>
      </w:pPr>
      <w:r>
        <w:t xml:space="preserve">The same physical result can serve different intentions. Having a power does not mean using it.</w:t>
      </w:r>
    </w:p>
    <w:p>
      <w:pPr>
        <w:pStyle w:val="Compact"/>
        <w:numPr>
          <w:ilvl w:val="0"/>
          <w:numId w:val="1049"/>
        </w:numPr>
      </w:pPr>
      <w:r>
        <w:t xml:space="preserve">A blanket can relieve cold through an intentional gift or an accidental arrival. Benefit alone does not establish that someone intended it.</w:t>
      </w:r>
    </w:p>
    <w:p>
      <w:pPr>
        <w:pStyle w:val="Compact"/>
        <w:numPr>
          <w:ilvl w:val="0"/>
          <w:numId w:val="1049"/>
        </w:numPr>
      </w:pPr>
      <w:r>
        <w:t xml:space="preserve">Two gifts with the same physical result can differ: one relieves cold; another also acknowledges dignity. The outcome does not tell us the whole intention.</w:t>
      </w:r>
    </w:p>
    <w:p>
      <w:pPr>
        <w:pStyle w:val="Compact"/>
        <w:numPr>
          <w:ilvl w:val="0"/>
          <w:numId w:val="1049"/>
        </w:numPr>
      </w:pPr>
      <w:r>
        <w:t xml:space="preserve">A person can possess a capacity without using it. Deliberately refraining requires capacity, control, and purpose; an absent effect establishes none of these.</w:t>
      </w:r>
    </w:p>
    <w:p>
      <w:pPr>
        <w:pStyle w:val="Compact"/>
        <w:numPr>
          <w:ilvl w:val="0"/>
          <w:numId w:val="1049"/>
        </w:numPr>
      </w:pPr>
      <w:r>
        <w:t xml:space="preserve">A benefit can be real before recognition. Conversely, a true belief can be a lucky guess. Receiving something and knowing it have different conditions.</w:t>
      </w:r>
    </w:p>
    <w:p>
      <w:pPr>
        <w:pStyle w:val="FirstParagraph"/>
      </w:pPr>
      <w:r>
        <w:t xml:space="preserve">An adequate account preserves what is produced, what the agent intends and does, what the recipient receives, and how someone knows it. The examples expose these different explanatory jobs. They do not show that a finite agent’s changing psychology can be transferred to God.</w:t>
      </w:r>
    </w:p>
    <w:p>
      <w:pPr>
        <w:pStyle w:val="BodyText"/>
      </w:pPr>
      <w:r>
        <w:t xml:space="preserve">The philosophical opening is a distinction between the agent’s intrinsic power and the complete intentional action. If an action’s direction is genuinely originated and controlled by the agent, a difference in that direction need not be an actuality supplied by its effect. The action can explain the effect while the effect helps specify which complete action occurred. Specification and productive causation run in different directions.</w:t>
      </w:r>
    </w:p>
    <w:p>
      <w:pPr>
        <w:pStyle w:val="BodyText"/>
      </w:pPr>
      <w:r>
        <w:t xml:space="preserve">This establishes a candidate structure, not its divine realization. The remaining bridge is substantial: an intelligent source must be able to originate and know such a determinate direction without acquiring a new intrinsic state. The strongest rival grants libertarian agency but locates alternative choices in different intrinsic states, even while denying that those states are proper parts.</w:t>
      </w:r>
    </w:p>
    <w:bookmarkEnd w:id="288"/>
    <w:bookmarkStart w:id="289" w:name="a-power-is-not-yet-a-particular-action"/>
    <w:p>
      <w:pPr>
        <w:pStyle w:val="Heading3"/>
      </w:pPr>
      <w:r>
        <w:t xml:space="preserve">04. A power is not yet a particular action</w:t>
      </w:r>
    </w:p>
    <w:p>
      <w:pPr>
        <w:pStyle w:val="FirstParagraph"/>
      </w:pPr>
      <w:r>
        <w:t xml:space="preserve">DISPUTED CONSTRUCTIVE PROPOSAL</w:t>
      </w:r>
    </w:p>
    <w:p>
      <w:pPr>
        <w:pStyle w:val="BodyText"/>
      </w:pPr>
      <w:r>
        <w:t xml:space="preserve">A complete account must explain alternatives, reasons, choice, and successful production.</w:t>
      </w:r>
    </w:p>
    <w:p>
      <w:pPr>
        <w:pStyle w:val="BodyText"/>
      </w:pPr>
      <w:r>
        <w:t xml:space="preserve">Four steps must remain distinct. Possibility identifies real alternatives; reasons make an alternative intelligible or good; choice explains the agent’s actual direction toward it; efficacy explains its realization. An indeterminate process can branch without choosing. A rational plan can remain unexecuted. Divine agency requires intelligent authorship as well as power.</w:t>
      </w:r>
    </w:p>
    <w:p>
      <w:pPr>
        <w:pStyle w:val="BodyText"/>
      </w:pPr>
      <w:r>
        <w:t xml:space="preserve">The proposed bridge is that a complete intentional action need not be fixed by the agent’s intrinsic state alone, provided its direction is a real relation originated and controlled by that agent. God’s being would remain intrinsically complete, while the full fact that God freely creates this world would include a contingent direction toward this creation. This commits the account to a real intentional explanation; it cannot be satisfied by assigning different world labels to an invariant power.</w:t>
      </w:r>
    </w:p>
    <w:p>
      <w:pPr>
        <w:pStyle w:val="BodyText"/>
      </w:pPr>
      <w:r>
        <w:t xml:space="preserve">The motivation is that the complete identity of an action includes its intentional object and explanatory direction, not only a description of the agent in isolation. Requiring every such difference to be realized by a different intrinsic state is a substantive theory of intention, not a truth contained in the word</w:t>
      </w:r>
      <w:r>
        <w:t xml:space="preserve"> </w:t>
      </w:r>
      <w:r>
        <w:t xml:space="preserve">“</w:t>
      </w:r>
      <w:r>
        <w:t xml:space="preserve">action.</w:t>
      </w:r>
      <w:r>
        <w:t xml:space="preserve">”</w:t>
      </w:r>
      <w:r>
        <w:t xml:space="preserve"> </w:t>
      </w:r>
      <w:r>
        <w:t xml:space="preserve">Finite examples establish that explanatory and identifying relations can differ; they do not establish that divine intention is relational throughout.</w:t>
      </w:r>
    </w:p>
    <w:p>
      <w:pPr>
        <w:pStyle w:val="BodyText"/>
      </w:pPr>
      <w:r>
        <w:t xml:space="preserve">Reasons can explain a choice without uniquely necessitating it. The recipient’s possible good supplies a reason for generosity without supplying a need in God. The agent, rather than a prior selector or an impersonal lottery, originates the action for that reason. Whether this form of rational explanation is sufficient, and whether its intentional direction can remain relational throughout, are the two principal disputes.</w:t>
      </w:r>
    </w:p>
    <w:p>
      <w:pPr>
        <w:pStyle w:val="BodyText"/>
      </w:pPr>
      <w:r>
        <w:t xml:space="preserve">Modal collapse follows if God’s necessary intrinsic actuality necessarily entails this complete efficacious intention. The proposal denies that further entailment. Necessarily, if God efficaciously intends this creation, it exists; it does not follow that God necessarily so intends. Denying the entailment blocks one inference to collapse. The positive agency bridge must still explain how the contingent intention belongs to God’s control.</w:t>
      </w:r>
    </w:p>
    <w:p>
      <w:pPr>
        <w:pStyle w:val="BodyText"/>
      </w:pPr>
      <w:r>
        <w:t xml:space="preserve">Including an effect in the full description of an action does not make it the cause of the intention. Conversely, saying only</w:t>
      </w:r>
      <w:r>
        <w:t xml:space="preserve"> </w:t>
      </w:r>
      <w:r>
        <w:t xml:space="preserve">“</w:t>
      </w:r>
      <w:r>
        <w:t xml:space="preserve">God is Creator because a world exists</w:t>
      </w:r>
      <w:r>
        <w:t xml:space="preserve">”</w:t>
      </w:r>
      <w:r>
        <w:t xml:space="preserve"> </w:t>
      </w:r>
      <w:r>
        <w:t xml:space="preserve">offers an outcome-dependent title without an account of choice. These two errors delimit the proposal.</w:t>
      </w:r>
    </w:p>
    <w:p>
      <w:pPr>
        <w:pStyle w:val="BodyText"/>
      </w:pPr>
      <w:r>
        <w:t xml:space="preserve">The notation makes no extra promiseS(g,e,p) abbreviates: agent g actually performs and controls action e, intending p. T(e,x) says the action effectively produces x as intended. S records agency; it does not derive intelligence or freedom from existence. T records success; intention alone does not produce an outcome. Neither symbol explains the metaphysical possibility of the proposed intentional relation.</w:t>
      </w:r>
    </w:p>
    <w:p>
      <w:pPr>
        <w:pStyle w:val="BodyText"/>
      </w:pPr>
      <w:r>
        <w:t xml:space="preserve">The no-creation alternativeNo creation means no created actuality, rather than</w:t>
      </w:r>
      <w:r>
        <w:t xml:space="preserve"> </w:t>
      </w:r>
      <w:r>
        <w:t xml:space="preserve">“</w:t>
      </w:r>
      <w:r>
        <w:t xml:space="preserve">nothing</w:t>
      </w:r>
      <w:r>
        <w:t xml:space="preserve">”</w:t>
      </w:r>
      <w:r>
        <w:t xml:space="preserve"> </w:t>
      </w:r>
      <w:r>
        <w:t xml:space="preserve">as an object God makes. Deliberate refraining must be possible if creation is gratuitous; non-exhaustion alone does not establish that possibility. It also does not erase the eternal personal life of Father, Son, and Spirit. Their relations are not contingent exercises of creative power.</w:t>
      </w:r>
    </w:p>
    <w:bookmarkEnd w:id="289"/>
    <w:bookmarkStart w:id="290" w:name="Xc2335a62c78f32a0be4bc81d2d466ab3219120d"/>
    <w:p>
      <w:pPr>
        <w:pStyle w:val="Heading3"/>
      </w:pPr>
      <w:r>
        <w:t xml:space="preserve">05. Knowing the actual without learning from it</w:t>
      </w:r>
    </w:p>
    <w:p>
      <w:pPr>
        <w:pStyle w:val="FirstParagraph"/>
      </w:pPr>
      <w:r>
        <w:t xml:space="preserve">PRODUCTIVE KNOWLEDGE + A FURTHER COGNITIVE BRIDGE</w:t>
      </w:r>
    </w:p>
    <w:p>
      <w:pPr>
        <w:pStyle w:val="BodyText"/>
      </w:pPr>
      <w:r>
        <w:t xml:space="preserve">A truth’s dependence on an event is not automatically the knower’s acquisition of a cognitive state.</w:t>
      </w:r>
    </w:p>
    <w:p>
      <w:pPr>
        <w:pStyle w:val="BodyText"/>
      </w:pPr>
      <w:r>
        <w:t xml:space="preserve">Distinguish a real received good, its meaningful expression, someone’s access to it, and warranted recognition. An unconscious patient can benefit from care; a meaningful sign can remain unread. A cause can sustain an event without thereby having cognitive acquaintance with it. Neither reception nor causal intimacy establishes knowledge by itself.</w:t>
      </w:r>
    </w:p>
    <w:p>
      <w:pPr>
        <w:pStyle w:val="BodyText"/>
      </w:pPr>
      <w:r>
        <w:t xml:space="preserve">For effects fully specified by God’s efficacious intention, the positive proposal is productive knowledge. An intelligent source knows what it does through awareness of its actual controlled action and what that action infallibly produces. It need not inspect the result in order to learn whether its intention succeeded. This requires actual intention, adequate self-awareness, and transparency of the action’s efficacy. Knowing every possible plan does not yet identify the actual plan.</w:t>
      </w:r>
    </w:p>
    <w:p>
      <w:pPr>
        <w:pStyle w:val="BodyText"/>
      </w:pPr>
      <w:r>
        <w:t xml:space="preserve">The claim that a particular contingent choice actually occurs is true only if that choice occurs. But truth conditions are not automatically cognitive actualizers: the fact that makes a statement true need not send information that completes God’s intellect. This distinguishes two explanatory arrows. It does not by itself show how an intrinsically invariant intellect knows different actual outcomes.</w:t>
      </w:r>
    </w:p>
    <w:p>
      <w:pPr>
        <w:pStyle w:val="BodyText"/>
      </w:pPr>
      <w:r>
        <w:t xml:space="preserve">Free secondary acts make the harder case. Sustaining a creature’s power is not the same as supplying its intention, and knowledge of God’s creative intention cannot simply stand in for knowledge of whatever the creature freely chooses. The proposed additional bridge is direct, non-receptive awareness of actual finite acts: the underived intellect knows their determinate actuality without acquiring representations caused by them. This is a positive cognitive commitment, not a consequence of merely renaming causal presence as awareness.</w:t>
      </w:r>
    </w:p>
    <w:p>
      <w:pPr>
        <w:pStyle w:val="BodyText"/>
      </w:pPr>
      <w:r>
        <w:t xml:space="preserve">The bridge must cover the actual content of choices, omissions, and relations, while preserving their creaturely authorship. Foreknowledge further requires an account of access to temporal actuality; factivity alone establishes no timeless standpoint. Comprehensive omniscience is received in Catholic theology. Its philosophical explanation remains conditional on these additional cognitive and temporal commitments.</w:t>
      </w:r>
    </w:p>
    <w:p>
      <w:pPr>
        <w:pStyle w:val="BodyText"/>
      </w:pPr>
      <w:r>
        <w:t xml:space="preserve">Knowing a wrongful intention is not intending its moral defect. An act’s positive actuality, the creature’s exercise, its disorder, God’s permission, and divine knowledge have different explanatory roles. A theory that treats them as one causation has lost the distinction it needed to preserve.</w:t>
      </w:r>
    </w:p>
    <w:bookmarkEnd w:id="290"/>
    <w:bookmarkStart w:id="299" w:name="X77040adeb479227154b7d40a08c5c90c19086d9"/>
    <w:p>
      <w:pPr>
        <w:pStyle w:val="Heading3"/>
      </w:pPr>
      <w:r>
        <w:t xml:space="preserve">06. Different thinkers answer different questions</w:t>
      </w:r>
    </w:p>
    <w:p>
      <w:pPr>
        <w:pStyle w:val="FirstParagraph"/>
      </w:pPr>
      <w:r>
        <w:t xml:space="preserve">CLAIM, INTERPRETATION, AND LIMIT KEPT DISTINCT</w:t>
      </w:r>
    </w:p>
    <w:p>
      <w:pPr>
        <w:pStyle w:val="BodyText"/>
      </w:pPr>
      <w:r>
        <w:t xml:space="preserve">These are resources and critical interlocutors, not co-authors of a modern system.</w:t>
      </w:r>
    </w:p>
    <w:p>
      <w:pPr>
        <w:pStyle w:val="BodyText"/>
      </w:pPr>
      <w:r>
        <w:t xml:space="preserve">Augustine’s divine ideas help explain creaturely intelligibility without external standards; Anselm helps distinguish rational freedom from indeterminacy; Scotus insists upon genuine contingency rather than the mere finitude of an effect. Przywara preserves likeness within greater unlikeness. Their contributions on the earlier pages continue to constrain this proposal.</w:t>
      </w:r>
    </w:p>
    <w:bookmarkStart w:id="291" w:name="bonaventure-fullness-not-featurelessness"/>
    <w:p>
      <w:pPr>
        <w:pStyle w:val="Heading4"/>
      </w:pPr>
      <w:r>
        <w:t xml:space="preserve">Bonaventure: Fullness, not featurelessness</w:t>
      </w:r>
    </w:p>
    <w:p>
      <w:pPr>
        <w:pStyle w:val="FirstParagraph"/>
      </w:pPr>
      <w:r>
        <w:t xml:space="preserve">Simplicity concerns the perfection by which the source is actual, not a poverty of intelligible content. A distinction by personal origin is not the same as a difference produced by adding a constituent. Finite proportion can also contribute positively to a creature’s beauty.</w:t>
      </w:r>
    </w:p>
    <w:p>
      <w:pPr>
        <w:pStyle w:val="BodyText"/>
      </w:pPr>
      <w:r>
        <w:t xml:space="preserve">“</w:t>
      </w:r>
      <w:r>
        <w:t xml:space="preserve">Where supreme simplicity is understood, supreme actuality must be understood.</w:t>
      </w:r>
      <w:r>
        <w:t xml:space="preserve">”</w:t>
      </w:r>
    </w:p>
    <w:p>
      <w:pPr>
        <w:pStyle w:val="BodyText"/>
      </w:pPr>
      <w:r>
        <w:t xml:space="preserve">I Sentences, q. 1, ad 1; inherited manuscript working translation.</w:t>
      </w:r>
    </w:p>
    <w:p>
      <w:pPr>
        <w:pStyle w:val="BodyText"/>
      </w:pPr>
      <w:r>
        <w:t xml:space="preserve">Locus: I Sentences d. 8, p. II, a. un., qq. 1–2; Itinerarium II.10</w:t>
      </w:r>
    </w:p>
    <w:p>
      <w:pPr>
        <w:pStyle w:val="BodyText"/>
      </w:pPr>
      <w:r>
        <w:t xml:space="preserve">Limit: The communication argument here concerns the Trinity. It does not necessitate creation or demonstrate the proposed account of free divine action.</w:t>
      </w:r>
    </w:p>
    <w:p>
      <w:pPr>
        <w:pStyle w:val="BodyText"/>
      </w:pPr>
      <w:r>
        <w:t xml:space="preserve">Source: https:/​/​plato.​stanford.​edu/​entries/​bonaventure/​</w:t>
      </w:r>
    </w:p>
    <w:bookmarkEnd w:id="291"/>
    <w:bookmarkStart w:id="292" w:name="X2cd919366691b2fb6dae9d80d5ffdb1247db414"/>
    <w:p>
      <w:pPr>
        <w:pStyle w:val="Heading4"/>
      </w:pPr>
      <w:r>
        <w:t xml:space="preserve">Pseudo-Dionysius: Different impressions; one source</w:t>
      </w:r>
    </w:p>
    <w:p>
      <w:pPr>
        <w:pStyle w:val="FirstParagraph"/>
      </w:pPr>
      <w:r>
        <w:t xml:space="preserve">The seal comparison locates variation partly in recipients. Exemplars help explain intelligible differences; God’s knowledge through their cause addresses a further question. These are three explanations to distinguish, rather than interchangeable proofs.</w:t>
      </w:r>
    </w:p>
    <w:p>
      <w:pPr>
        <w:pStyle w:val="BodyText"/>
      </w:pPr>
      <w:r>
        <w:t xml:space="preserve">“</w:t>
      </w:r>
      <w:r>
        <w:t xml:space="preserve">the Mind of God gains not Its knowledge of things from those things</w:t>
      </w:r>
      <w:r>
        <w:t xml:space="preserve">”</w:t>
      </w:r>
    </w:p>
    <w:p>
      <w:pPr>
        <w:pStyle w:val="BodyText"/>
      </w:pPr>
      <w:r>
        <w:t xml:space="preserve">Divine Names VII.2, C. E. Rolt (1920), consulted at CCEL.</w:t>
      </w:r>
    </w:p>
    <w:p>
      <w:pPr>
        <w:pStyle w:val="BodyText"/>
      </w:pPr>
      <w:r>
        <w:t xml:space="preserve">Locus: Divine Names II.5; V.8; VII.2–3; IX.6–7</w:t>
      </w:r>
    </w:p>
    <w:p>
      <w:pPr>
        <w:pStyle w:val="BodyText"/>
      </w:pPr>
      <w:r>
        <w:t xml:space="preserve">Limit: A seal is patterned; the analogy does not establish divine simplicity. Causal knowledge does not alone settle counterfactual selection or all secondary free decisions.</w:t>
      </w:r>
    </w:p>
    <w:p>
      <w:pPr>
        <w:pStyle w:val="BodyText"/>
      </w:pPr>
      <w:r>
        <w:t xml:space="preserve">Source: https:/​/​ccel.​org/​ccel/​rolt/​dionysius/​dionysius.​iv.​viii.​html</w:t>
      </w:r>
    </w:p>
    <w:bookmarkEnd w:id="292"/>
    <w:bookmarkStart w:id="293" w:name="X8a50d7d604854669e82f4b1f4cc4e137db3e39c"/>
    <w:p>
      <w:pPr>
        <w:pStyle w:val="Heading4"/>
      </w:pPr>
      <w:r>
        <w:t xml:space="preserve">John Scotus Eriugena: The frontier of manifestation</w:t>
      </w:r>
    </w:p>
    <w:p>
      <w:pPr>
        <w:pStyle w:val="FirstParagraph"/>
      </w:pPr>
      <w:r>
        <w:t xml:space="preserve">Theophany—God’s manifestation—gives created expression genuine metaphysical importance. Yet the strong identity language and</w:t>
      </w:r>
      <w:r>
        <w:t xml:space="preserve"> </w:t>
      </w:r>
      <w:r>
        <w:t xml:space="preserve">“</w:t>
      </w:r>
      <w:r>
        <w:t xml:space="preserve">as it were</w:t>
      </w:r>
      <w:r>
        <w:t xml:space="preserve">”</w:t>
      </w:r>
      <w:r>
        <w:t xml:space="preserve"> </w:t>
      </w:r>
      <w:r>
        <w:t xml:space="preserve">divine self-creation make him a stress case: does expression disclose fullness, or supply God with a determination he lacked?</w:t>
      </w:r>
    </w:p>
    <w:p>
      <w:pPr>
        <w:pStyle w:val="BodyText"/>
      </w:pPr>
      <w:r>
        <w:t xml:space="preserve">Inherited Sheldon-Williams/O’Meara translation register; fresh specialist comparison with Dermot Moran’s SEP entry.</w:t>
      </w:r>
    </w:p>
    <w:p>
      <w:pPr>
        <w:pStyle w:val="BodyText"/>
      </w:pPr>
      <w:r>
        <w:t xml:space="preserve">Locus: Periphyseon I.446D; I.454B–C; II.589B; III.678C–D; III.689B</w:t>
      </w:r>
    </w:p>
    <w:p>
      <w:pPr>
        <w:pStyle w:val="BodyText"/>
      </w:pPr>
      <w:r>
        <w:t xml:space="preserve">Limit: The proposed use of this resource preserves real created disclosure while rejecting completion of God by the world. This selects and, where needed, corrects; it does not harmonize away his stronger claims.</w:t>
      </w:r>
    </w:p>
    <w:p>
      <w:pPr>
        <w:pStyle w:val="BodyText"/>
      </w:pPr>
      <w:r>
        <w:t xml:space="preserve">Source: https:/​/​plato.​stanford.​edu/​entries/​scottus-​eriugena/​</w:t>
      </w:r>
    </w:p>
    <w:bookmarkEnd w:id="293"/>
    <w:bookmarkStart w:id="294" w:name="X6699f37ee38881232a6e0c7ab6b8ccfa05c6ebc"/>
    <w:p>
      <w:pPr>
        <w:pStyle w:val="Heading4"/>
      </w:pPr>
      <w:r>
        <w:t xml:space="preserve">Maximus the Confessor: Intelligibility is not yet realization</w:t>
      </w:r>
    </w:p>
    <w:p>
      <w:pPr>
        <w:pStyle w:val="FirstParagraph"/>
      </w:pPr>
      <w:r>
        <w:t xml:space="preserve">One Logos and differentiated logoi—the intelligible principles of creatures—help explain an intelligible order without independent Forms. Creatures’ coming to exist in time must still be distinguished from their intelligible principles and God’s knowledge.</w:t>
      </w:r>
    </w:p>
    <w:p>
      <w:pPr>
        <w:pStyle w:val="BodyText"/>
      </w:pPr>
      <w:r>
        <w:t xml:space="preserve">Provisional Greek transcription reconsulted; collation with Nicholas Constas’s Ambigua (2014) remains outstanding.</w:t>
      </w:r>
    </w:p>
    <w:p>
      <w:pPr>
        <w:pStyle w:val="BodyText"/>
      </w:pPr>
      <w:r>
        <w:t xml:space="preserve">Locus: Ambiguum 7; PG 91, 1077–1081; 1085–1088</w:t>
      </w:r>
    </w:p>
    <w:p>
      <w:pPr>
        <w:pStyle w:val="BodyText"/>
      </w:pPr>
      <w:r>
        <w:t xml:space="preserve">Limit: No modern relational theory of free divine action is attributed to Maximus. Logoi do not, merely by being determinate, actualize a world.</w:t>
      </w:r>
    </w:p>
    <w:p>
      <w:pPr>
        <w:pStyle w:val="BodyText"/>
      </w:pPr>
      <w:r>
        <w:t xml:space="preserve">Source: https:/​/​raw.​githubusercontent.​com/​robertvsiii/​maximus-​confessor/​5ef8d8b33bb7e16576f4b5445db7ee07541aff9f/​texts/​maximus/​maximus_​confessor.​ambigua_​iohannem.​tess</w:t>
      </w:r>
    </w:p>
    <w:bookmarkEnd w:id="294"/>
    <w:bookmarkStart w:id="295" w:name="X5e95d75dd7b2bde515faf7ce6d1cb0743f24965"/>
    <w:p>
      <w:pPr>
        <w:pStyle w:val="Heading4"/>
      </w:pPr>
      <w:r>
        <w:t xml:space="preserve">Gregory of Nyssa: An image’s mode is its own</w:t>
      </w:r>
    </w:p>
    <w:p>
      <w:pPr>
        <w:pStyle w:val="FirstParagraph"/>
      </w:pPr>
      <w:r>
        <w:t xml:space="preserve">Likeness in attributes does not erase the difference between created and uncreated nature. Received rational life includes voluntary virtue: dependence upon the ultimate source need not make created agency counterfeit.</w:t>
      </w:r>
    </w:p>
    <w:p>
      <w:pPr>
        <w:pStyle w:val="BodyText"/>
      </w:pPr>
      <w:r>
        <w:t xml:space="preserve">“</w:t>
      </w:r>
      <w:r>
        <w:t xml:space="preserve">virtue is a voluntary thing, subject to no dominion</w:t>
      </w:r>
      <w:r>
        <w:t xml:space="preserve">”</w:t>
      </w:r>
    </w:p>
    <w:p>
      <w:pPr>
        <w:pStyle w:val="BodyText"/>
      </w:pPr>
      <w:r>
        <w:t xml:space="preserve">Moore/Wilson, NPNF, second series V; primary translation reconsulted.</w:t>
      </w:r>
    </w:p>
    <w:p>
      <w:pPr>
        <w:pStyle w:val="BodyText"/>
      </w:pPr>
      <w:r>
        <w:t xml:space="preserve">Locus: On the Making of Man XVI</w:t>
      </w:r>
    </w:p>
    <w:p>
      <w:pPr>
        <w:pStyle w:val="BodyText"/>
      </w:pPr>
      <w:r>
        <w:t xml:space="preserve">Limit: This does not derive divine free agency or establish every claim about infinity and epektasis. The anthropology contains further speculative commitments.</w:t>
      </w:r>
    </w:p>
    <w:p>
      <w:pPr>
        <w:pStyle w:val="BodyText"/>
      </w:pPr>
      <w:r>
        <w:t xml:space="preserve">Source: https:/​/​raw.​githubusercontent.​com/​standardebooks/​gregory-​of-​nyssa_​on-​the-​making-​of-​man_​william-​moore_​henry-​austin-​wilson/​master/​src/​epub/​text/​chapter-​16.​xhtml</w:t>
      </w:r>
    </w:p>
    <w:bookmarkEnd w:id="295"/>
    <w:bookmarkStart w:id="296" w:name="X79fdf6ce785fc9d1b69205fa0564ea63ac8674c"/>
    <w:p>
      <w:pPr>
        <w:pStyle w:val="Heading4"/>
      </w:pPr>
      <w:r>
        <w:t xml:space="preserve">Gregory Nazianzen: Do not force relation into the wrong category</w:t>
      </w:r>
    </w:p>
    <w:p>
      <w:pPr>
        <w:pStyle w:val="FirstParagraph"/>
      </w:pPr>
      <w:r>
        <w:t xml:space="preserve">“</w:t>
      </w:r>
      <w:r>
        <w:t xml:space="preserve">Father</w:t>
      </w:r>
      <w:r>
        <w:t xml:space="preserve">”</w:t>
      </w:r>
      <w:r>
        <w:t xml:space="preserve"> </w:t>
      </w:r>
      <w:r>
        <w:t xml:space="preserve">names neither a separate essence nor an action that produces a creature. Gregory’s category correction makes real personal distinction philosophically significant without treating persons as pieces of a divine whole.</w:t>
      </w:r>
    </w:p>
    <w:p>
      <w:pPr>
        <w:pStyle w:val="BodyText"/>
      </w:pPr>
      <w:r>
        <w:t xml:space="preserve">“</w:t>
      </w:r>
      <w:r>
        <w:t xml:space="preserve">it is the name of the Relation in which the Father stands to the Son, and the Son to the Father.</w:t>
      </w:r>
      <w:r>
        <w:t xml:space="preserve">”</w:t>
      </w:r>
    </w:p>
    <w:p>
      <w:pPr>
        <w:pStyle w:val="BodyText"/>
      </w:pPr>
      <w:r>
        <w:t xml:space="preserve">Oration 29 §16, Browne/Swallow, NPNF, second series VII; directly consulted at CCEL.</w:t>
      </w:r>
    </w:p>
    <w:p>
      <w:pPr>
        <w:pStyle w:val="BodyText"/>
      </w:pPr>
      <w:r>
        <w:t xml:space="preserve">Locus: Oration 29 §§6–8, 16</w:t>
      </w:r>
    </w:p>
    <w:p>
      <w:pPr>
        <w:pStyle w:val="BodyText"/>
      </w:pPr>
      <w:r>
        <w:t xml:space="preserve">Limit: Begotten personal origin is not created existential dependence. This theological case does not prove that contingent creative direction can be relationally specified.</w:t>
      </w:r>
    </w:p>
    <w:p>
      <w:pPr>
        <w:pStyle w:val="BodyText"/>
      </w:pPr>
      <w:r>
        <w:t xml:space="preserve">Source: https:/​/​ccel.​org/​ccel/​schaff/​npnf207/​npnf207.​iii.​xv.​html</w:t>
      </w:r>
    </w:p>
    <w:bookmarkEnd w:id="296"/>
    <w:bookmarkStart w:id="297" w:name="X15b696864e35e6f5aba2cd3da459f50b16b9759"/>
    <w:p>
      <w:pPr>
        <w:pStyle w:val="Heading4"/>
      </w:pPr>
      <w:r>
        <w:t xml:space="preserve">Joseph Ratzinger / Benedict XVI: Relation that preserves the person</w:t>
      </w:r>
    </w:p>
    <w:p>
      <w:pPr>
        <w:pStyle w:val="FirstParagraph"/>
      </w:pPr>
      <w:r>
        <w:t xml:space="preserve">Ratzinger calls for a critical metaphysical evaluation of relation. Communion can preserve identity; God as universal source can be understood together with Logos and personal love. The inquiry therefore concerns concrete persons and their fulfillment, as well as abstract causal structure.</w:t>
      </w:r>
    </w:p>
    <w:p>
      <w:pPr>
        <w:pStyle w:val="BodyText"/>
      </w:pPr>
      <w:r>
        <w:t xml:space="preserve">“</w:t>
      </w:r>
      <w:r>
        <w:t xml:space="preserve">true openness does not mean loss of individual identity</w:t>
      </w:r>
      <w:r>
        <w:t xml:space="preserve">”</w:t>
      </w:r>
    </w:p>
    <w:p>
      <w:pPr>
        <w:pStyle w:val="BodyText"/>
      </w:pPr>
      <w:r>
        <w:t xml:space="preserve">Caritas in veritate §54; unofficial transcript of the official English text consulted; official collation outstanding.</w:t>
      </w:r>
    </w:p>
    <w:p>
      <w:pPr>
        <w:pStyle w:val="BodyText"/>
      </w:pPr>
      <w:r>
        <w:t xml:space="preserve">Locus: Caritas in veritate §§53–54; Deus caritas est §§9–10</w:t>
      </w:r>
    </w:p>
    <w:p>
      <w:pPr>
        <w:pStyle w:val="BodyText"/>
      </w:pPr>
      <w:r>
        <w:t xml:space="preserve">Limit: Human growth through relationships does not prove that God remains intrinsically unchanged across alternative creations. Eternal personal relations are not alternative acts of creation. The 1990 Person essay remains an unconsulted lead.</w:t>
      </w:r>
    </w:p>
    <w:p>
      <w:pPr>
        <w:pStyle w:val="BodyText"/>
      </w:pPr>
      <w:r>
        <w:t xml:space="preserve">Source: https:/​/​www.​vatican.​va/​content/​benedict-​xvi/​en/​encyclicals/​documents/​hf_​ben-​xvi_​enc_​20090629_​caritas-​in-​veritate.​html</w:t>
      </w:r>
    </w:p>
    <w:bookmarkEnd w:id="297"/>
    <w:bookmarkStart w:id="298" w:name="X979add72a3105b8cb2ed0ba9d71b025cdacb9fd"/>
    <w:p>
      <w:pPr>
        <w:pStyle w:val="Heading4"/>
      </w:pPr>
      <w:r>
        <w:t xml:space="preserve">Thomas Aquinas: A precise bridge, with a definite cost</w:t>
      </w:r>
    </w:p>
    <w:p>
      <w:pPr>
        <w:pStyle w:val="FirstParagraph"/>
      </w:pPr>
      <w:r>
        <w:t xml:space="preserve">Dependence on parts, voluntary creation, knowing effects through self-knowledge, and asymmetric Creator–creature relations help answer distinct questions. His achievement helps specify the questions; it does not require adopting every part of his metaphysics as this page’s framework.</w:t>
      </w:r>
    </w:p>
    <w:p>
      <w:pPr>
        <w:pStyle w:val="BodyText"/>
      </w:pPr>
      <w:r>
        <w:t xml:space="preserve">Earlier-page primary-source and formal audit inherited; no fresh critical-edition collation here.</w:t>
      </w:r>
    </w:p>
    <w:p>
      <w:pPr>
        <w:pStyle w:val="BodyText"/>
      </w:pPr>
      <w:r>
        <w:t xml:space="preserve">Locus: Summa theologiae I, q. 3; q. 14, aa. 5, 8, 13; q. 19, aa. 3, 7; q. 45, a. 3</w:t>
      </w:r>
    </w:p>
    <w:p>
      <w:pPr>
        <w:pStyle w:val="BodyText"/>
      </w:pPr>
      <w:r>
        <w:t xml:space="preserve">Limit: A relation real in the creature need not add a feature to God; that claim must still explain genuine divine control. Each proposed real distinction still needs an argument showing whether it adds a constituent or received actuality to God.</w:t>
      </w:r>
    </w:p>
    <w:p>
      <w:pPr>
        <w:pStyle w:val="BodyText"/>
      </w:pPr>
      <w:r>
        <w:t xml:space="preserve">Source: https:/​/​www.​newadvent.​org/​summa/​1019.​htm</w:t>
      </w:r>
    </w:p>
    <w:bookmarkEnd w:id="298"/>
    <w:bookmarkEnd w:id="299"/>
    <w:bookmarkStart w:id="300" w:name="X2180b5989a9420f61a6b4d81341b0088721e320"/>
    <w:p>
      <w:pPr>
        <w:pStyle w:val="Heading3"/>
      </w:pPr>
      <w:r>
        <w:t xml:space="preserve">07. Received agency and the good of finite life</w:t>
      </w:r>
    </w:p>
    <w:p>
      <w:pPr>
        <w:pStyle w:val="FirstParagraph"/>
      </w:pPr>
      <w:r>
        <w:t xml:space="preserve">CONSTRUCTIVE APPLICATION WITH PRIMARY RESOURCES</w:t>
      </w:r>
    </w:p>
    <w:p>
      <w:pPr>
        <w:pStyle w:val="BodyText"/>
      </w:pPr>
      <w:r>
        <w:t xml:space="preserve">Dependence can enable a subject’s own act; finite conditions can constitute its good.</w:t>
      </w:r>
    </w:p>
    <w:p>
      <w:pPr>
        <w:pStyle w:val="BodyText"/>
      </w:pPr>
      <w:r>
        <w:t xml:space="preserve">A power can be given and genuinely exercisedParticipation means real dependent possession according to the participant’s mode. Applied to agency, this demands a further bridge: the creature must possess an operative power and exercise it through its own judgment, intention, and control. Receiving a power and using it are different relations. God’s sustaining the agent does not, merely by that fact, make God the subject of the agent’s intention.</w:t>
      </w:r>
    </w:p>
    <w:p>
      <w:pPr>
        <w:pStyle w:val="BodyText"/>
      </w:pPr>
      <w:r>
        <w:t xml:space="preserve">This gives secondary causality positive content. A musician may receive an instrument and still be the one who plays; support can enable a person’s choice rather than substitute for it. These finite comparisons do not prove the divine case, but they defeat the inference from dependence alone to passivity. The theological and metaphysical claim is stronger: God communicates real created powers whose exercises remain the creature’s acts. How divine concurrence preserves that control still requires a model; the word</w:t>
      </w:r>
      <w:r>
        <w:t xml:space="preserve"> </w:t>
      </w:r>
      <w:r>
        <w:t xml:space="preserve">“</w:t>
      </w:r>
      <w:r>
        <w:t xml:space="preserve">participation</w:t>
      </w:r>
      <w:r>
        <w:t xml:space="preserve">”</w:t>
      </w:r>
      <w:r>
        <w:t xml:space="preserve"> </w:t>
      </w:r>
      <w:r>
        <w:t xml:space="preserve">cannot supply one.</w:t>
      </w:r>
    </w:p>
    <w:p>
      <w:pPr>
        <w:pStyle w:val="BodyText"/>
      </w:pPr>
      <w:r>
        <w:t xml:space="preserve">Three meanings of limitationSome limitations are privations: ignorance obstructs knowledge. Others are positive conditions of a particular good: a melody needs succession, a conversation distinct speakers, a promise a history of fidelity. Still others are adverse circumstances to which a good responds: courage in danger, healing after illness. Confusing these categories turns every finite condition into a defect or every good response into a justification of harm.</w:t>
      </w:r>
    </w:p>
    <w:p>
      <w:pPr>
        <w:pStyle w:val="BodyText"/>
      </w:pPr>
      <w:r>
        <w:t xml:space="preserve">The test is concrete: would removing this condition perfect the same good, or abolish that kind of good? Removing distortion improves the melody; sounding every note at once abolishes it. God can ground the goodness of learning without learning, and the goodness of courage without undergoing danger. The complete finite description need not be transferred into its source.</w:t>
      </w:r>
    </w:p>
    <w:p>
      <w:pPr>
        <w:pStyle w:val="BodyText"/>
      </w:pPr>
      <w:r>
        <w:t xml:space="preserve">Created novelty therefore matters. A friendship comes to exist; a child understands; an injustice is repaired. These are new goods in creatures, not missing episodes through which God becomes complete. Bonaventure’s proportion, Augustine’s passing words, and Nyssa’s voluntary virtue illuminate different aspects of that claim.</w:t>
      </w:r>
    </w:p>
    <w:p>
      <w:pPr>
        <w:pStyle w:val="BodyText"/>
      </w:pPr>
      <w:r>
        <w:t xml:space="preserve">Communion fulfills without absorbingRatzinger gives the argument a personal horizon: communion preserves identity. It requires knowing and loving, rather than mere dependence or proximity. Grace must enable the creature actually to know and love; divine activity passing through a passive shell would supply neither created agency nor communion. None of this turns suffering into a good simply because healing or courage can follow it.</w:t>
      </w:r>
    </w:p>
    <w:bookmarkEnd w:id="300"/>
    <w:bookmarkStart w:id="301" w:name="X18f3360128681884cc1f7c99e5dcf0f63355c66"/>
    <w:p>
      <w:pPr>
        <w:pStyle w:val="Heading3"/>
      </w:pPr>
      <w:r>
        <w:t xml:space="preserve">08. One divine actuality, different kinds of determination</w:t>
      </w:r>
    </w:p>
    <w:p>
      <w:pPr>
        <w:pStyle w:val="FirstParagraph"/>
      </w:pPr>
      <w:r>
        <w:t xml:space="preserve">REVEALED COMMITMENTS ≠ PHILOSOPHICAL DEDUCTIONS</w:t>
      </w:r>
    </w:p>
    <w:p>
      <w:pPr>
        <w:pStyle w:val="BodyText"/>
      </w:pPr>
      <w:r>
        <w:t xml:space="preserve">Essential meaning, personal origin, and contingent action cannot prove one another.</w:t>
      </w:r>
    </w:p>
    <w:p>
      <w:pPr>
        <w:pStyle w:val="BodyText"/>
      </w:pPr>
      <w:r>
        <w:t xml:space="preserve">The systematic distinction is between being determinate and receiving actuality through a determination. It organizes several questions without reducing them to one relation.</w:t>
      </w:r>
    </w:p>
    <w:p>
      <w:pPr>
        <w:pStyle w:val="Compact"/>
        <w:numPr>
          <w:ilvl w:val="0"/>
          <w:numId w:val="1050"/>
        </w:numPr>
      </w:pPr>
      <w:r>
        <w:t xml:space="preserve">Essential predication: wisdom and power differ in meaning without thereby requiring separate actuality-parts. Their realization in one divine actuality needs its own perfection argument.</w:t>
      </w:r>
    </w:p>
    <w:p>
      <w:pPr>
        <w:pStyle w:val="Compact"/>
        <w:numPr>
          <w:ilvl w:val="0"/>
          <w:numId w:val="1050"/>
        </w:numPr>
      </w:pPr>
      <w:r>
        <w:t xml:space="preserve">Personal origin: Father, Son, and Spirit are really distinct by revealed relations of origin, without divided deity. The Son’s being from the Father is not creaturely reception, actualization from potency, or lesser possession of divine life.</w:t>
      </w:r>
    </w:p>
    <w:p>
      <w:pPr>
        <w:pStyle w:val="Compact"/>
        <w:numPr>
          <w:ilvl w:val="0"/>
          <w:numId w:val="1050"/>
        </w:numPr>
      </w:pPr>
      <w:r>
        <w:t xml:space="preserve">Free outward action: creating this world rather than another is a contingent intentional difference. The proposed relational account must explain it independently; personal relations do not prove its coherence.</w:t>
      </w:r>
    </w:p>
    <w:p>
      <w:pPr>
        <w:pStyle w:val="FirstParagraph"/>
      </w:pPr>
      <w:r>
        <w:t xml:space="preserve">Nazianzen’s category correction and Bonaventure’s distinction by origin prevent simplicity from becoming the absence of every real distinction. They do not turn the Persons into alternative creative outputs.</w:t>
      </w:r>
      <w:r>
        <w:t xml:space="preserve"> </w:t>
      </w:r>
      <w:r>
        <w:t xml:space="preserve">“</w:t>
      </w:r>
      <w:r>
        <w:t xml:space="preserve">All real difference is extrinsic</w:t>
      </w:r>
      <w:r>
        <w:t xml:space="preserve">”</w:t>
      </w:r>
      <w:r>
        <w:t xml:space="preserve"> </w:t>
      </w:r>
      <w:r>
        <w:t xml:space="preserve">would itself contradict the revealed personal relations.</w:t>
      </w:r>
    </w:p>
    <w:p>
      <w:pPr>
        <w:pStyle w:val="BodyText"/>
      </w:pPr>
      <w:r>
        <w:t xml:space="preserve">The Incarnation is another distinct claim. Christ’s humanity is not an ordinary participant elevated until it becomes God. The one divine Son personally subsists in divine and human natures without confusion or division. His human willing and suffering are real; they do not become creaturely properties of the divine nature. General participation can protect the categories, but cannot establish the hypostatic union or the identity of Jesus Christ.</w:t>
      </w:r>
    </w:p>
    <w:p>
      <w:pPr>
        <w:pStyle w:val="BodyText"/>
      </w:pPr>
      <w:r>
        <w:t xml:space="preserve">Beatific vision supplies a final correction. Catholic teaching affirms immediate vision of God himself, not merely a created representation standing in for him. The finite act of seeing remains received and non-exhaustive: immediacy identifies the object, not equality with God’s cognitive mode. Neither personal distinction nor fulfilled communion entails partition, absorption, or the disappearance of created agency.</w:t>
      </w:r>
    </w:p>
    <w:bookmarkEnd w:id="301"/>
    <w:bookmarkStart w:id="302" w:name="X2aa4d949e88c090b5d8c079062bbf31a054818c"/>
    <w:p>
      <w:pPr>
        <w:pStyle w:val="Heading3"/>
      </w:pPr>
      <w:r>
        <w:t xml:space="preserve">09. A determinate explanation with explicit stopping points</w:t>
      </w:r>
    </w:p>
    <w:p>
      <w:pPr>
        <w:pStyle w:val="FirstParagraph"/>
      </w:pPr>
      <w:r>
        <w:t xml:space="preserve">STARTING COMMITMENTS AND OPEN QUESTIONS</w:t>
      </w:r>
    </w:p>
    <w:p>
      <w:pPr>
        <w:pStyle w:val="BodyText"/>
      </w:pPr>
      <w:r>
        <w:t xml:space="preserve">Actuality, agency, and knowledge each make a distinct explanatory demand.</w:t>
      </w:r>
    </w:p>
    <w:p>
      <w:pPr>
        <w:pStyle w:val="BodyText"/>
      </w:pPr>
      <w:r>
        <w:t xml:space="preserve">Where Explanation Finally Stops. Actuality tells us that something is so. It does not say why this intention occurs, what makes it the agent’s act, or how it is known. Individuation asks what makes it this particular action; constitution asks whether something more basic makes the agent what it is. An answer to either need not answer the other.</w:t>
      </w:r>
    </w:p>
    <w:p>
      <w:pPr>
        <w:pStyle w:val="BodyText"/>
      </w:pPr>
      <w:r>
        <w:t xml:space="preserve">The account terminates in an intelligent agent’s actual rational exercise, not in an infinite sequence of inner selectors. That stopping point is defensible only if the agent’s intention and control really explain the outcome. A lottery does not become authorship because its unexplained result has been called a choice. Conversely, an explanation need not be deterministic merely because it is genuine.</w:t>
      </w:r>
    </w:p>
    <w:p>
      <w:pPr>
        <w:pStyle w:val="BodyText"/>
      </w:pPr>
      <w:r>
        <w:t xml:space="preserve">Dependence on constituents excludes proper intrinsic parts in an absolutely underived source. It has not established intrinsic invariance across possible creations, every divine perfection, or a theory of free choice. Those bridges remain distinct. One concrete realizer of several compatible meanings does not demonstrate one unchanging intellect’s knowledge of incompatible alternative histories.</w:t>
      </w:r>
    </w:p>
    <w:p>
      <w:pPr>
        <w:pStyle w:val="BodyText"/>
      </w:pPr>
      <w:r>
        <w:t xml:space="preserve">Cause and recipient can clarify one another conceptually. Learning about God through effects need not make God depend upon those effects. A definitional circle would arise if source and reception were each defined entirely through the other; an ontological reversal would arise if creatures supplied the very actuality by which God explains them. Neither is required by the proposed relational explanation.</w:t>
      </w:r>
    </w:p>
    <w:p>
      <w:pPr>
        <w:pStyle w:val="BodyText"/>
      </w:pPr>
      <w:r>
        <w:t xml:space="preserve">U(g) + dependence on constituents ⇒ no proper intrinsic parts.</w:t>
      </w:r>
      <w:r>
        <w:t xml:space="preserve"> </w:t>
      </w:r>
      <w:r>
        <w:t xml:space="preserve">No proper parts ⇏ intrinsic invariance or free action.</w:t>
      </w:r>
      <w:r>
        <w:t xml:space="preserve"> </w:t>
      </w:r>
      <w:r>
        <w:t xml:space="preserve">S(g,e,p) + T(e,x) ⇒ intentional action that produces x.</w:t>
      </w:r>
      <w:r>
        <w:t xml:space="preserve"> </w:t>
      </w:r>
      <w:r>
        <w:t xml:space="preserve">S(g,e,p) + T(e,x) + SelfAccess(g,e)</w:t>
      </w:r>
      <w:r>
        <w:t xml:space="preserve"> </w:t>
      </w:r>
      <w:r>
        <w:t xml:space="preserve">+ Transparency(e,x) + Warrant(g,e)</w:t>
      </w:r>
      <w:r>
        <w:t xml:space="preserve"> </w:t>
      </w:r>
      <w:r>
        <w:t xml:space="preserve">⇒ knowledge of x through the action.</w:t>
      </w:r>
      <w:r>
        <w:t xml:space="preserve"> </w:t>
      </w:r>
      <w:r>
        <w:t xml:space="preserve">Knowledge of free secondary acts requires an additional awareness bridge.</w:t>
      </w:r>
    </w:p>
    <w:p>
      <w:pPr>
        <w:pStyle w:val="BodyText"/>
      </w:pPr>
      <w:r>
        <w:t xml:space="preserve">The final line is indispensable. A formula that records comprehensive awareness would not derive it. The constructive explanation has a clear core and a clear remaining boundary.</w:t>
      </w:r>
    </w:p>
    <w:bookmarkEnd w:id="302"/>
    <w:bookmarkStart w:id="303" w:name="a-proposal-with-an-argumentative-cost"/>
    <w:p>
      <w:pPr>
        <w:pStyle w:val="Heading3"/>
      </w:pPr>
      <w:r>
        <w:t xml:space="preserve">10. A proposal with an argumentative cost</w:t>
      </w:r>
    </w:p>
    <w:p>
      <w:pPr>
        <w:pStyle w:val="FirstParagraph"/>
      </w:pPr>
      <w:r>
        <w:t xml:space="preserve">NEWMAN-STYLE ANALOGY · PROVISIONAL</w:t>
      </w:r>
    </w:p>
    <w:p>
      <w:pPr>
        <w:pStyle w:val="BodyText"/>
      </w:pPr>
      <w:r>
        <w:t xml:space="preserve">Its contribution is to connect distinct explanatory achievements without making them interchangeable.</w:t>
      </w:r>
    </w:p>
    <w:p>
      <w:pPr>
        <w:pStyle w:val="BodyText"/>
      </w:pPr>
      <w:r>
        <w:t xml:space="preserve">The proposal preserves participation’s type: an uncreated source, real creaturely otherness and goodness, received possession, and asymmetric dependence. It assimilates theophany, exemplarism, personal relation, rational freedom, and secondary agency while keeping their different explanatory jobs visible. Its sequence is intelligible: participation raises questions about the source; simplicity raises questions about concrete intelligent action; action raises questions about contingent knowledge and communion.</w:t>
      </w:r>
    </w:p>
    <w:p>
      <w:pPr>
        <w:pStyle w:val="BodyText"/>
      </w:pPr>
      <w:r>
        <w:t xml:space="preserve">The positive gain is a coordinated account of determination without acquired divine completion. That is a systematic development of inherited distinctions, rather than a claim that the vocabulary names an unprecedented primitive or a new proof superior to every classical argument.</w:t>
      </w:r>
    </w:p>
    <w:p>
      <w:pPr>
        <w:pStyle w:val="BodyText"/>
      </w:pPr>
      <w:r>
        <w:t xml:space="preserve">Three strong rivals remain. Necessary emanation offers productive fullness but denies the required alternatives. Intrinsic variation in divine intentions preserves choice while denying invariance, without necessarily introducing proper parts. An outcome-only relational account preserves invariance but fails to supply intentional authorship. The present proposal succeeds only if it preserves the explanatory strengths of the second while excluding the failure of the third.</w:t>
      </w:r>
    </w:p>
    <w:p>
      <w:pPr>
        <w:pStyle w:val="BodyText"/>
      </w:pPr>
      <w:r>
        <w:t xml:space="preserve">Historical differences matter. Eriugena’s strongest identity and divine self-manifestation language is not simply Aquinas’s mixed relations; Scotus’s distinctions cannot be refuted by counting them as parts. These traditions supply arguments and counterpressure, not signatures beneath one modern theory.</w:t>
      </w:r>
    </w:p>
    <w:p>
      <w:pPr>
        <w:pStyle w:val="BodyText"/>
      </w:pPr>
      <w:r>
        <w:t xml:space="preserve">Newman’s preservation of type, continuity of principles, logical sequence, and assimilative power are useful tests. Long-term stability and explanatory fruitfulness remain prospective. The analogy does not certify this architecture as defined Catholic doctrine.</w:t>
      </w:r>
    </w:p>
    <w:p>
      <w:pPr>
        <w:pStyle w:val="BodyText"/>
      </w:pPr>
      <w:r>
        <w:t xml:space="preserve">What removing an assumption leaves unexplained</w:t>
      </w:r>
    </w:p>
    <w:p>
      <w:pPr>
        <w:pStyle w:val="BodyText"/>
      </w:pPr>
      <w:r>
        <w:t xml:space="preserve">These are losses within the proposed explanation. They do not establish that no rival account could replace an omitted assumption.</w:t>
      </w:r>
    </w:p>
    <w:p>
      <w:pPr>
        <w:pStyle w:val="Compact"/>
        <w:numPr>
          <w:ilvl w:val="0"/>
          <w:numId w:val="1051"/>
        </w:numPr>
      </w:pPr>
      <w:r>
        <w:t xml:space="preserve">Remove Recipient conditions: Variation must be explained elsewhere; different receptions lose their explanation. Diagnostic: Different impressions wrongly force different parts in their source.</w:t>
      </w:r>
    </w:p>
    <w:p>
      <w:pPr>
        <w:pStyle w:val="Compact"/>
        <w:numPr>
          <w:ilvl w:val="0"/>
          <w:numId w:val="1051"/>
        </w:numPr>
      </w:pPr>
      <w:r>
        <w:t xml:space="preserve">Remove Intention and control: A benefit or outcome remains without an intentional agent. Diagnostic: An accidentally arriving blanket still warms someone.</w:t>
      </w:r>
    </w:p>
    <w:p>
      <w:pPr>
        <w:pStyle w:val="Compact"/>
        <w:numPr>
          <w:ilvl w:val="0"/>
          <w:numId w:val="1051"/>
        </w:numPr>
      </w:pPr>
      <w:r>
        <w:t xml:space="preserve">Remove Actual action: A capacity or possible plan remains without an actual choice. Diagnostic: The same powers alone identify neither creation nor refraining.</w:t>
      </w:r>
    </w:p>
    <w:p>
      <w:pPr>
        <w:pStyle w:val="Compact"/>
        <w:numPr>
          <w:ilvl w:val="0"/>
          <w:numId w:val="1051"/>
        </w:numPr>
      </w:pPr>
      <w:r>
        <w:t xml:space="preserve">Remove Producing the intended outcome: An intention remains without success. Diagnostic: A planned gift may never arrive.</w:t>
      </w:r>
    </w:p>
    <w:p>
      <w:pPr>
        <w:pStyle w:val="Compact"/>
        <w:numPr>
          <w:ilvl w:val="0"/>
          <w:numId w:val="1051"/>
        </w:numPr>
      </w:pPr>
      <w:r>
        <w:t xml:space="preserve">Remove Access and justification: True content can remain without established knowledge. Diagnostic: A lucky guess is correct but unsupported.</w:t>
      </w:r>
    </w:p>
    <w:p>
      <w:pPr>
        <w:pStyle w:val="Compact"/>
        <w:numPr>
          <w:ilvl w:val="0"/>
          <w:numId w:val="1051"/>
        </w:numPr>
      </w:pPr>
      <w:r>
        <w:t xml:space="preserve">Remove Intrinsic invariance: An agent may have no proper parts while its intrinsic intentions differ across alternatives. Diagnostic: A rival rejects the claim that God remains intrinsically the same.</w:t>
      </w:r>
    </w:p>
    <w:bookmarkEnd w:id="303"/>
    <w:bookmarkStart w:id="304" w:name="Xc3e244406f0de1a7238d2f58faa2e70d50e0518"/>
    <w:p>
      <w:pPr>
        <w:pStyle w:val="Heading3"/>
      </w:pPr>
      <w:r>
        <w:t xml:space="preserve">11. The source status is part of the argument</w:t>
      </w:r>
    </w:p>
    <w:p>
      <w:pPr>
        <w:pStyle w:val="FirstParagraph"/>
      </w:pPr>
      <w:r>
        <w:t xml:space="preserve">AUDITABLE SOURCES</w:t>
      </w:r>
    </w:p>
    <w:p>
      <w:pPr>
        <w:pStyle w:val="BodyText"/>
      </w:pPr>
      <w:r>
        <w:t xml:space="preserve">Exact loci, consultation history, and outstanding checks remain visible.</w:t>
      </w:r>
    </w:p>
    <w:p>
      <w:pPr>
        <w:pStyle w:val="BodyText"/>
      </w:pPr>
      <w:r>
        <w:t xml:space="preserve">The supplied Definitive Synthetic Edition and Working Philosophical Toolkit guide this revision’s constructive architecture; they do not upgrade the consultation status of the historical sources. Fresh primary translations at CCEL support the Dionysian and Nazianzen passages. Bonaventure and Eriugena reuse the supplied manuscript’s primary register alongside fresh specialist comparison. Maximus’s Greek witness is provisional. Ratzinger’s encyclicals were consulted in unofficial transcripts of official English texts; comparison with the official text remains outstanding. These differences are not hidden behind a single</w:t>
      </w:r>
      <w:r>
        <w:t xml:space="preserve"> </w:t>
      </w:r>
      <w:r>
        <w:t xml:space="preserve">“</w:t>
      </w:r>
      <w:r>
        <w:t xml:space="preserve">verified</w:t>
      </w:r>
      <w:r>
        <w:t xml:space="preserve">”</w:t>
      </w:r>
      <w:r>
        <w:t xml:space="preserve"> </w:t>
      </w:r>
      <w:r>
        <w:t xml:space="preserve">label.</w:t>
      </w:r>
    </w:p>
    <w:p>
      <w:pPr>
        <w:pStyle w:val="BodyText"/>
      </w:pPr>
      <w:r>
        <w:t xml:space="preserve">Evidence statusAll source entriesFresh primary translationInherited primary consultationProvisional / transcript qualificationSpecialist scholarship onlyUnconsulted leads only</w:t>
      </w:r>
    </w:p>
    <w:p>
      <w:pPr>
        <w:pStyle w:val="BodyText"/>
      </w:pPr>
      <w:r>
        <w:t xml:space="preserve">Filters inspect the complete 28-entry ledger, including specialist scholarship and unconsulted leads such as Ratzinger’s 1990 Person essay. This remains a disciplined research proposal, rather than an exhaustive critical-edition survey.</w:t>
      </w:r>
    </w:p>
    <w:p>
      <w:pPr>
        <w:pStyle w:val="BodyText"/>
      </w:pPr>
      <w:hyperlink r:id="rId127">
        <w:r>
          <w:rPr>
            <w:rStyle w:val="Hyperlink"/>
          </w:rPr>
          <w:t xml:space="preserve">Shared reading guide →</w:t>
        </w:r>
      </w:hyperlink>
      <w:hyperlink r:id="rId128">
        <w:r>
          <w:rPr>
            <w:rStyle w:val="Hyperlink"/>
          </w:rPr>
          <w:t xml:space="preserve">Complete Part III report →</w:t>
        </w:r>
      </w:hyperlink>
      <w:hyperlink r:id="rId129">
        <w:r>
          <w:rPr>
            <w:rStyle w:val="Hyperlink"/>
          </w:rPr>
          <w:t xml:space="preserve">Formal audit &amp; cases →</w:t>
        </w:r>
      </w:hyperlink>
      <w:hyperlink r:id="rId130">
        <w:r>
          <w:rPr>
            <w:rStyle w:val="Hyperlink"/>
          </w:rPr>
          <w:t xml:space="preserve">Source dossier →</w:t>
        </w:r>
      </w:hyperlink>
      <w:hyperlink r:id="rId131">
        <w:r>
          <w:rPr>
            <w:rStyle w:val="Hyperlink"/>
          </w:rPr>
          <w:t xml:space="preserve">Machine-readable source ledger →</w:t>
        </w:r>
      </w:hyperlink>
    </w:p>
    <w:p>
      <w:pPr>
        <w:pStyle w:val="BodyText"/>
      </w:pPr>
      <w:r>
        <w:t xml:space="preserve">Further reading and an imaginative companionTwo optional companions to this inquiry into divine action deserve an honorable mention.</w:t>
      </w:r>
    </w:p>
    <w:p>
      <w:pPr>
        <w:pStyle w:val="BodyText"/>
      </w:pPr>
      <w:r>
        <w:t xml:space="preserve">A philosophical resourceKerr, G. (2023).</w:t>
      </w:r>
      <w:r>
        <w:t xml:space="preserve"> </w:t>
      </w:r>
      <w:hyperlink r:id="rId132">
        <w:r>
          <w:rPr>
            <w:rStyle w:val="Hyperlink"/>
          </w:rPr>
          <w:t xml:space="preserve">God and the alone world</w:t>
        </w:r>
      </w:hyperlink>
      <w:r>
        <w:t xml:space="preserve">. Irish Theological Quarterly, 88(1), 76–89.</w:t>
      </w:r>
    </w:p>
    <w:p>
      <w:pPr>
        <w:pStyle w:val="BodyText"/>
      </w:pPr>
      <w:r>
        <w:t xml:space="preserve">A further-reading lead for pursuing the question of divine agency alongside the distinctions developed here between power, actual action, and knowledge. No particular argument from the article is attributed or adopted here.</w:t>
      </w:r>
    </w:p>
    <w:p>
      <w:pPr>
        <w:pStyle w:val="BodyText"/>
      </w:pPr>
      <w:r>
        <w:t xml:space="preserve">A loose comic-book metaphorEwing, A., Vecchio, L., Curiel, D., Aburtov, J., &amp; Sabino, J. V. C. (2024). Resurrection of Magneto #4. Marvel Comics.</w:t>
      </w:r>
    </w:p>
    <w:p>
      <w:pPr>
        <w:pStyle w:val="BodyText"/>
      </w:pPr>
      <w:r>
        <w:t xml:space="preserve">Consider Magneto as an imaginative comparison: an agent directing power toward a particular result can help us picture direct agency without a preliminary chain of separate actions. Directness alone does not establish freedom, and it need not mean reflex or psychological flow. The character remains a finite fictional agent; the comparison supplies no premise about divine simplicity, creation, or knowledge.</w:t>
      </w:r>
    </w:p>
    <w:p>
      <w:pPr>
        <w:pStyle w:val="BodyText"/>
      </w:pPr>
      <w:r>
        <w:t xml:space="preserve">These are reader-suggested resources. Bibliographic details are supplied by the reader; the article and comic have not been directly consulted for this page. The metaphysical account rests on the arguments and premises developed above.</w:t>
      </w:r>
    </w:p>
    <w:bookmarkEnd w:id="304"/>
    <w:bookmarkStart w:id="305" w:name="a-gift-can-become-a-life"/>
    <w:p>
      <w:pPr>
        <w:pStyle w:val="Heading3"/>
      </w:pPr>
      <w:r>
        <w:t xml:space="preserve">12. A gift can become a life</w:t>
      </w:r>
    </w:p>
    <w:p>
      <w:pPr>
        <w:pStyle w:val="FirstParagraph"/>
      </w:pPr>
      <w:r>
        <w:t xml:space="preserve">POSITIVE RESULT / CONDITIONAL METAPHYSICS</w:t>
      </w:r>
    </w:p>
    <w:p>
      <w:pPr>
        <w:pStyle w:val="BodyText"/>
      </w:pPr>
      <w:r>
        <w:t xml:space="preserve">Creaturely fulfillment can be real without constituting or completing God.</w:t>
      </w:r>
    </w:p>
    <w:p>
      <w:pPr>
        <w:pStyle w:val="BodyText"/>
      </w:pPr>
      <w:r>
        <w:t xml:space="preserve">The core result is an explanatory separation with positive consequences. What an agent produces, intends, controls, communicates, and knows cannot simply replace one another. A creature can receive a real power and genuinely exercise it. A finite history can bring a new good into existence without supplying God with a missing perfection. Communion can fulfill the recipient while preserving its identity.</w:t>
      </w:r>
    </w:p>
    <w:p>
      <w:pPr>
        <w:pStyle w:val="BodyText"/>
      </w:pPr>
      <w:r>
        <w:t xml:space="preserve">Applied to divine action, the proposal locates the contingent direction of creation in God’s real controlled relation to its intended effect, rather than in an acquired divine constituent. It must still defend that intentional ontology and the non-receptive knowledge it requires. Those are substantive bridges, not consequences of the word</w:t>
      </w:r>
      <w:r>
        <w:t xml:space="preserve"> </w:t>
      </w:r>
      <w:r>
        <w:t xml:space="preserve">“</w:t>
      </w:r>
      <w:r>
        <w:t xml:space="preserve">simple.</w:t>
      </w:r>
      <w:r>
        <w:t xml:space="preserve">”</w:t>
      </w:r>
    </w:p>
    <w:p>
      <w:pPr>
        <w:pStyle w:val="BodyText"/>
      </w:pPr>
      <w:r>
        <w:t xml:space="preserve">From source to plenitude, and to</w:t>
      </w:r>
      <w:r>
        <w:t xml:space="preserve"> </w:t>
      </w:r>
      <w:r>
        <w:t xml:space="preserve">“</w:t>
      </w:r>
      <w:r>
        <w:t xml:space="preserve">all in all</w:t>
      </w:r>
      <w:r>
        <w:t xml:space="preserve">”</w:t>
      </w:r>
      <w:r>
        <w:t xml:space="preserve">The six simplicity accomplishments exclude specified forms of received divine actuality. Their negative achievement does not alone establish every positive perfection. A further causal-adequacy and pure-perfection argument must warrant intellect, goodness, and plenitude. Universal sourcehood must likewise be argued, rather than inferred from a local cause.</w:t>
      </w:r>
    </w:p>
    <w:p>
      <w:pPr>
        <w:pStyle w:val="BodyText"/>
      </w:pPr>
      <w:r>
        <w:t xml:space="preserve">Under those bridges, God can be understood as the unreceived fullness from which every created good receives its actuality. The All names that fullness under universal sourcehood, not an aggregate made by adding God to the universe. Free communication remains a further step: abundance does not select a world merely by being abundant.</w:t>
      </w:r>
    </w:p>
    <w:p>
      <w:pPr>
        <w:pStyle w:val="BodyText"/>
      </w:pPr>
      <w:r>
        <w:t xml:space="preserve">Christian revelation then gives the final horizon that metaphysics alone cannot generate. The supplied manuscript situates 1 Corinthians 15:20–28 in its Christological setting: resurrection, Christ’s reign, the defeat of death, and the handing over of the kingdom frame the confession that God is all in all. This is a contextual paraphrase, not a newly collated biblical translation. The movement is the consummation of creation through Christ, not the source’s acquisition of its final completeness. The verse alone neither proves this philosophical architecture nor settles every person’s final destiny.</w:t>
      </w:r>
    </w:p>
    <w:p>
      <w:pPr>
        <w:pStyle w:val="BodyText"/>
      </w:pPr>
      <w:r>
        <w:t xml:space="preserve">God does not become complete through creation. Creation can become fulfilled through God.</w:t>
      </w:r>
    </w:p>
    <w:p>
      <w:pPr>
        <w:pStyle w:val="BodyText"/>
      </w:pPr>
      <w:r>
        <w:t xml:space="preserve">Resurrection and communion preserve embodied personal identity; beatific intimacy does not exhaust or divide its divine object. The end is therefore more than dependence made visible: it is a received life brought into knowing and loving communion. That promised consummation is theological content; the metaphysical contribution is to make its intimacy, creaturely reality, and divine sufficiency intelligible together.</w:t>
      </w:r>
    </w:p>
    <w:p>
      <w:pPr>
        <w:pStyle w:val="BodyText"/>
      </w:pPr>
      <w:hyperlink r:id="rId22">
        <w:r>
          <w:rPr>
            <w:rStyle w:val="Hyperlink"/>
          </w:rPr>
          <w:t xml:space="preserve">← Revisit simplicity and free creation</w:t>
        </w:r>
      </w:hyperlink>
      <w:hyperlink r:id="rId21">
        <w:r>
          <w:rPr>
            <w:rStyle w:val="Hyperlink"/>
          </w:rPr>
          <w:t xml:space="preserve">Return to Participation →</w:t>
        </w:r>
      </w:hyperlink>
    </w:p>
    <w:p>
      <w:pPr>
        <w:pStyle w:val="BodyText"/>
      </w:pPr>
      <w:r>
        <w:t xml:space="preserve">The interactive case records and rival interpretations are in real-difference-formal.md; editions, consultation provenance and specialist leads are in real-difference-sources.md and real-difference-ledger.json.</w:t>
      </w:r>
    </w:p>
    <w:bookmarkEnd w:id="305"/>
    <w:bookmarkStart w:id="312" w:name="questions-and-answers"/>
    <w:p>
      <w:pPr>
        <w:pStyle w:val="Heading3"/>
      </w:pPr>
      <w:r>
        <w:t xml:space="preserve">Questions and answers</w:t>
      </w:r>
    </w:p>
    <w:p>
      <w:pPr>
        <w:pStyle w:val="FirstParagraph"/>
      </w:pPr>
      <w:r>
        <w:t xml:space="preserve">This intended creation, knowledge of actual action, and the significance of finite goods.</w:t>
      </w:r>
    </w:p>
    <w:bookmarkStart w:id="307" w:name="X5a3f6bf76432bb43a071e4c9f6e55c44b79fc73"/>
    <w:p>
      <w:pPr>
        <w:pStyle w:val="Heading4"/>
      </w:pPr>
      <w:r>
        <w:t xml:space="preserve">7. What makes this creation God’s actual intention without creation adding an intrinsic determination to God?</w:t>
      </w:r>
    </w:p>
    <w:p>
      <w:pPr>
        <w:pStyle w:val="FirstParagraph"/>
      </w:pPr>
      <w:r>
        <w:t xml:space="preserve">The proposed answer is an actual intentional action directed toward this creation. The source understands the intended good and voluntarily exercises effective power toward it; the world receives the resulting actuality. This distinguishes the reason for acting, actual authorship, and successful production. The intention does explanatory work before the effect supplies its description, where before means explanatory priority rather than a temporal interval. A general creative capacity or the completed world’s existence would not explain why this world was intended.</w:t>
      </w:r>
    </w:p>
    <w:p>
      <w:pPr>
        <w:pStyle w:val="BodyText"/>
      </w:pPr>
      <w:r>
        <w:t xml:space="preserve">This is a disputed compatibility proposal, not a result secured by calling the action relational. It must explain why that relation is genuine intentional agency rather than a new description attached to the outcome. A rival permits different intrinsic intentions across possibilities while denying parts or temporal acquisition. Noncomposition alone has not refuted it. The central burden is to defend determinate divine action with no difference in God’s intrinsic actuality across those alternatives.</w:t>
      </w:r>
    </w:p>
    <w:bookmarkStart w:id="306" w:name="X3b2c4b494fbbc4f618a8f1c939c068a284446f8"/>
    <w:p>
      <w:pPr>
        <w:pStyle w:val="Heading5"/>
      </w:pPr>
      <w:r>
        <w:t xml:space="preserve">The premises behind this answer: A relational account of intentional action</w:t>
      </w:r>
    </w:p>
    <w:p>
      <w:pPr>
        <w:pStyle w:val="FirstParagraph"/>
      </w:pPr>
      <w:r>
        <w:t xml:space="preserve">Adds a proposed account of real intentional direction while retaining the stronger claim of identical intrinsic actuality across alternatives. The relational ontology remains disputed.</w:t>
      </w:r>
    </w:p>
    <w:p>
      <w:pPr>
        <w:pStyle w:val="BodyText"/>
      </w:pPr>
      <w:r>
        <w:t xml:space="preserve">Adopt these premises:</w:t>
      </w:r>
    </w:p>
    <w:p>
      <w:pPr>
        <w:pStyle w:val="Compact"/>
        <w:numPr>
          <w:ilvl w:val="0"/>
          <w:numId w:val="1052"/>
        </w:numPr>
      </w:pPr>
      <w:r>
        <w:t xml:space="preserve">Actual voluntary action is an irreducible fact of an agent’s reason-guided control, not just a power or an effect-description.</w:t>
      </w:r>
    </w:p>
    <w:p>
      <w:pPr>
        <w:pStyle w:val="Compact"/>
        <w:numPr>
          <w:ilvl w:val="0"/>
          <w:numId w:val="1052"/>
        </w:numPr>
      </w:pPr>
      <w:r>
        <w:t xml:space="preserve">Its particular direction concerns understood possible content; successful production makes that content actual without the effect causing the intention.</w:t>
      </w:r>
    </w:p>
    <w:p>
      <w:pPr>
        <w:pStyle w:val="Compact"/>
        <w:numPr>
          <w:ilvl w:val="0"/>
          <w:numId w:val="1052"/>
        </w:numPr>
      </w:pPr>
      <w:r>
        <w:t xml:space="preserve">Adopt the stronger commitment that God’s intrinsic actuality is the same across creation alternatives.</w:t>
      </w:r>
    </w:p>
    <w:p>
      <w:pPr>
        <w:pStyle w:val="Compact"/>
        <w:numPr>
          <w:ilvl w:val="0"/>
          <w:numId w:val="1052"/>
        </w:numPr>
      </w:pPr>
      <w:r>
        <w:t xml:space="preserve">A contingent creative intention can be genuinely determinate in the agent’s real relation to understood content without any added or different intrinsic actuality in God.</w:t>
      </w:r>
    </w:p>
    <w:p>
      <w:pPr>
        <w:pStyle w:val="FirstParagraph"/>
      </w:pPr>
      <w:r>
        <w:t xml:space="preserve">Why adopt them?</w:t>
      </w:r>
    </w:p>
    <w:p>
      <w:pPr>
        <w:pStyle w:val="BodyText"/>
      </w:pPr>
      <w:r>
        <w:t xml:space="preserve">The proposed relation includes agent, intended content, and actual control: identical physical effects can serve different intentions. It is the agent’s action toward its object, not an independently existing intermediary. The agent explains its productive origin; reasons explain its purpose without uniquely necessitating it. With intrinsic sameness retained, the contingent difference is assigned to this actual intentional relation. Merely acquiring the description Creator would supply none of that control or direction. Across alternatives, the contingent difference belongs to the complete fact of the agent acting toward an intended object; the intended creature does not produce the agent’s act.</w:t>
      </w:r>
    </w:p>
    <w:p>
      <w:pPr>
        <w:pStyle w:val="BodyText"/>
      </w:pPr>
      <w:r>
        <w:t xml:space="preserve">What follows if they hold?</w:t>
      </w:r>
    </w:p>
    <w:p>
      <w:pPr>
        <w:pStyle w:val="BodyText"/>
      </w:pPr>
      <w:r>
        <w:t xml:space="preserve">God’s determinate willing can be treated as a real action whose relational content differs, without creation supplying divine actuality. Explanation stops at rational voluntary agency.</w:t>
      </w:r>
    </w:p>
    <w:p>
      <w:pPr>
        <w:pStyle w:val="BodyText"/>
      </w:pPr>
      <w:r>
        <w:t xml:space="preserve">What remains to defend: The claim that real intentional direction involves no intrinsic difference is the disputed ontological addition. It must explain control rather than merely name an outcome. Noncomposition and the finite examples do not prove it; the intrinsic-intention rival remains open.</w:t>
      </w:r>
    </w:p>
    <w:p>
      <w:pPr>
        <w:pStyle w:val="BodyText"/>
      </w:pPr>
      <w:hyperlink r:id="rId61">
        <w:r>
          <w:rPr>
            <w:rStyle w:val="Hyperlink"/>
          </w:rPr>
          <w:t xml:space="preserve">The proposal and its rival</w:t>
        </w:r>
      </w:hyperlink>
      <w:r>
        <w:t xml:space="preserve"> </w:t>
      </w:r>
      <w:r>
        <w:t xml:space="preserve">·</w:t>
      </w:r>
      <w:r>
        <w:t xml:space="preserve"> </w:t>
      </w:r>
      <w:hyperlink r:id="rId62">
        <w:r>
          <w:rPr>
            <w:rStyle w:val="Hyperlink"/>
          </w:rPr>
          <w:t xml:space="preserve">Compare actions and outcomes</w:t>
        </w:r>
      </w:hyperlink>
      <w:r>
        <w:t xml:space="preserve"> </w:t>
      </w:r>
      <w:r>
        <w:t xml:space="preserve">·</w:t>
      </w:r>
      <w:r>
        <w:t xml:space="preserve"> </w:t>
      </w:r>
      <w:hyperlink r:id="rId63">
        <w:r>
          <w:rPr>
            <w:rStyle w:val="Hyperlink"/>
          </w:rPr>
          <w:t xml:space="preserve">Where the explanation stops</w:t>
        </w:r>
      </w:hyperlink>
    </w:p>
    <w:bookmarkEnd w:id="306"/>
    <w:bookmarkEnd w:id="307"/>
    <w:bookmarkStart w:id="309" w:name="X4899424abf8793e1bee93ae2e461d8518d9b3cc"/>
    <w:p>
      <w:pPr>
        <w:pStyle w:val="Heading4"/>
      </w:pPr>
      <w:r>
        <w:t xml:space="preserve">8. How could God know what he actually wills and does without learning it from creation?</w:t>
      </w:r>
    </w:p>
    <w:p>
      <w:pPr>
        <w:pStyle w:val="FirstParagraph"/>
      </w:pPr>
      <w:r>
        <w:t xml:space="preserve">Through knowledge of his own actual intelligent action, if that action and its effect are adequately disclosed to him. Knowing every possible plan is not yet knowing which action occurs. The proposal therefore adds warranted awareness of the actual action and its particular intention, understanding of its efficacy, and adequate grasp of what follows from those facts. On those conditions, the effect is known through the action producing it, rather than teaching God what happened.</w:t>
      </w:r>
    </w:p>
    <w:p>
      <w:pPr>
        <w:pStyle w:val="BodyText"/>
      </w:pPr>
      <w:r>
        <w:t xml:space="preserve">This accounts for effects adequately specified and disclosed in the productive intention. A permitted creaturely choice poses a further question: receiving power is not the same as God supplying that creature’s intention. The page therefore considers an additional proposal of direct, non-receptive cognitive presence to the actual choice. Its truth can require that the choice really occur without the choice supplying God’s cognitive actuality. Separating these relations removes a confusion; adequate cognitive access and, for future choices, an account of eternal knowledge still need their own defense.</w:t>
      </w:r>
    </w:p>
    <w:bookmarkStart w:id="308" w:name="X94278dda2be3640a3807ffc8b189f1861708295"/>
    <w:p>
      <w:pPr>
        <w:pStyle w:val="Heading5"/>
      </w:pPr>
      <w:r>
        <w:t xml:space="preserve">The premises behind this answer: Knowledge through one’s intelligent action</w:t>
      </w:r>
    </w:p>
    <w:p>
      <w:pPr>
        <w:pStyle w:val="FirstParagraph"/>
      </w:pPr>
      <w:r>
        <w:t xml:space="preserve">Adds awareness of actual action, adequate disclosure of its effect, and epistemic warrant. Non-receptive access and infallible efficacy are further divine commitments.</w:t>
      </w:r>
    </w:p>
    <w:p>
      <w:pPr>
        <w:pStyle w:val="BodyText"/>
      </w:pPr>
      <w:r>
        <w:t xml:space="preserve">Adopt these premises:</w:t>
      </w:r>
    </w:p>
    <w:p>
      <w:pPr>
        <w:pStyle w:val="Compact"/>
        <w:numPr>
          <w:ilvl w:val="0"/>
          <w:numId w:val="1053"/>
        </w:numPr>
      </w:pPr>
      <w:r>
        <w:t xml:space="preserve">The source has accurate awareness of its actual action and determinate intention, without receiving cognitive actuality from the effect. Knowing possible plans alone is insufficient.</w:t>
      </w:r>
    </w:p>
    <w:p>
      <w:pPr>
        <w:pStyle w:val="Compact"/>
        <w:numPr>
          <w:ilvl w:val="0"/>
          <w:numId w:val="1053"/>
        </w:numPr>
      </w:pPr>
      <w:r>
        <w:t xml:space="preserve">Its creative power infallibly realizes the intended content within the intention’s scope, and the source has adequately warranted awareness of that connection between actual execution and successful realization.</w:t>
      </w:r>
    </w:p>
    <w:p>
      <w:pPr>
        <w:pStyle w:val="Compact"/>
        <w:numPr>
          <w:ilvl w:val="0"/>
          <w:numId w:val="1053"/>
        </w:numPr>
      </w:pPr>
      <w:r>
        <w:t xml:space="preserve">The awareness has epistemic warrant through intelligent direction, competence, and adequate access, rather than lucky agreement with the outcome.</w:t>
      </w:r>
    </w:p>
    <w:p>
      <w:pPr>
        <w:pStyle w:val="Compact"/>
        <w:numPr>
          <w:ilvl w:val="0"/>
          <w:numId w:val="1053"/>
        </w:numPr>
      </w:pPr>
      <w:r>
        <w:t xml:space="preserve">The source adequately grasps that actual execution and infallible efficacy entail the intended effect. This need not be a temporal process of inference.</w:t>
      </w:r>
    </w:p>
    <w:p>
      <w:pPr>
        <w:pStyle w:val="FirstParagraph"/>
      </w:pPr>
      <w:r>
        <w:t xml:space="preserve">Why adopt them?</w:t>
      </w:r>
    </w:p>
    <w:p>
      <w:pPr>
        <w:pStyle w:val="BodyText"/>
      </w:pPr>
      <w:r>
        <w:t xml:space="preserve">An intention can guide production, rather than being inferred from the finished product. Awareness of actual execution, together with warranted knowledge of its efficacy, gives a positive route to knowing what is produced. The action explains the effect. Warranted awareness of actual execution and its assured efficacy, together with grasp of their implication, warrants the conclusion that the intended effect occurs. Truth depends on what actually happens without requiring the effect to actualize cognition. Dionysius’s causal knowledge and Aquinas’s knowing as cause joined to willing supply historical resources.</w:t>
      </w:r>
    </w:p>
    <w:p>
      <w:pPr>
        <w:pStyle w:val="BodyText"/>
      </w:pPr>
      <w:r>
        <w:t xml:space="preserve">What follows if they hold?</w:t>
      </w:r>
    </w:p>
    <w:p>
      <w:pPr>
        <w:pStyle w:val="BodyText"/>
      </w:pPr>
      <w:r>
        <w:t xml:space="preserve">On these premises, the source knows its creative action and disclosed effect without learning from that effect.</w:t>
      </w:r>
    </w:p>
    <w:p>
      <w:pPr>
        <w:pStyle w:val="BodyText"/>
      </w:pPr>
      <w:r>
        <w:t xml:space="preserve">What remains to defend: Non-receptive access, infallible efficacy, adequate disclosure, and warrant are additional premises. Extending the account to permitted secondary choices requires a further cognitive relation to their actual exercise. Extending it to future contingents also requires an account of eternity or another defended basis of foreknowledge; neither follows from causal presence alone.</w:t>
      </w:r>
    </w:p>
    <w:p>
      <w:pPr>
        <w:pStyle w:val="BodyText"/>
      </w:pPr>
      <w:hyperlink r:id="rId70">
        <w:r>
          <w:rPr>
            <w:rStyle w:val="Hyperlink"/>
          </w:rPr>
          <w:t xml:space="preserve">Knowledge and its limits</w:t>
        </w:r>
      </w:hyperlink>
      <w:r>
        <w:t xml:space="preserve"> </w:t>
      </w:r>
      <w:r>
        <w:t xml:space="preserve">·</w:t>
      </w:r>
      <w:r>
        <w:t xml:space="preserve"> </w:t>
      </w:r>
      <w:hyperlink r:id="rId71">
        <w:r>
          <w:rPr>
            <w:rStyle w:val="Hyperlink"/>
          </w:rPr>
          <w:t xml:space="preserve">The separate epistemic premises</w:t>
        </w:r>
      </w:hyperlink>
    </w:p>
    <w:bookmarkEnd w:id="308"/>
    <w:bookmarkEnd w:id="309"/>
    <w:bookmarkStart w:id="311" w:name="X88a2671390d5dfe512733dc07a69d7cdf582295"/>
    <w:p>
      <w:pPr>
        <w:pStyle w:val="Heading4"/>
      </w:pPr>
      <w:r>
        <w:t xml:space="preserve">9. If creation supplies nothing God needs, why do finite creatures and their histories matter?</w:t>
      </w:r>
    </w:p>
    <w:p>
      <w:pPr>
        <w:pStyle w:val="FirstParagraph"/>
      </w:pPr>
      <w:r>
        <w:t xml:space="preserve">Because received reality and goodness remain real. Some finite conditions constitute particular goods: succession belongs to a melody; distinct speakers belong to conversation; a history allows a promise to be kept. Removing these conditions abolishes that particular good rather than perfecting it. By contrast, removing ignorance improves understanding. A third case is a good response to adversity: courage can be good in danger without making danger good. The test asks what the condition contributes, rather than treating every finite limit alike.</w:t>
      </w:r>
    </w:p>
    <w:p>
      <w:pPr>
        <w:pStyle w:val="BodyText"/>
      </w:pPr>
      <w:r>
        <w:t xml:space="preserve">Source independence therefore leaves creaturely achievement meaningful and creaturely harm serious. A friendship can begin without supplying God with a missing perfection; its good belongs truly to the friends. Communion adds knowing and loving to dependence and preserves the persons who enter it. Christian revelation identifies its promised consummation through Christ. Creation is fulfilled in God; it does not supply the final installment of divine completion. That claim neither justifies every injury nor turns all limitations into defects to be erased.</w:t>
      </w:r>
    </w:p>
    <w:bookmarkStart w:id="310" w:name="X2934248c641eff8d7b5877b4fc1e6227ec8945d"/>
    <w:p>
      <w:pPr>
        <w:pStyle w:val="Heading5"/>
      </w:pPr>
      <w:r>
        <w:t xml:space="preserve">The premises behind this answer: Goods constituted by finite organization</w:t>
      </w:r>
    </w:p>
    <w:p>
      <w:pPr>
        <w:pStyle w:val="FirstParagraph"/>
      </w:pPr>
      <w:r>
        <w:t xml:space="preserve">Adds a defended account of particular finite goods to the inherited causal and source principles.</w:t>
      </w:r>
    </w:p>
    <w:p>
      <w:pPr>
        <w:pStyle w:val="BodyText"/>
      </w:pPr>
      <w:r>
        <w:t xml:space="preserve">Adopt these premises:</w:t>
      </w:r>
    </w:p>
    <w:p>
      <w:pPr>
        <w:pStyle w:val="Compact"/>
        <w:numPr>
          <w:ilvl w:val="0"/>
          <w:numId w:val="1054"/>
        </w:numPr>
      </w:pPr>
      <w:r>
        <w:t xml:space="preserve">Realized goods have intelligible standards appropriate to their kind: proportion in a melody, mutual understanding in conversation, or faithful concern in friendship.</w:t>
      </w:r>
    </w:p>
    <w:p>
      <w:pPr>
        <w:pStyle w:val="Compact"/>
        <w:numPr>
          <w:ilvl w:val="0"/>
          <w:numId w:val="1054"/>
        </w:numPr>
      </w:pPr>
      <w:r>
        <w:t xml:space="preserve">Some such goods require succession, proportion, distinct persons, or a particular history.</w:t>
      </w:r>
    </w:p>
    <w:p>
      <w:pPr>
        <w:pStyle w:val="Compact"/>
        <w:numPr>
          <w:ilvl w:val="0"/>
          <w:numId w:val="1054"/>
        </w:numPr>
      </w:pPr>
      <w:r>
        <w:t xml:space="preserve">God can ground their actuality and positive content without possessing their finite constitutive form or receiving completion from them.</w:t>
      </w:r>
    </w:p>
    <w:p>
      <w:pPr>
        <w:pStyle w:val="FirstParagraph"/>
      </w:pPr>
      <w:r>
        <w:t xml:space="preserve">Why adopt them?</w:t>
      </w:r>
    </w:p>
    <w:p>
      <w:pPr>
        <w:pStyle w:val="BodyText"/>
      </w:pPr>
      <w:r>
        <w:t xml:space="preserve">A melody loses its particular good if its ordered sequence becomes an undifferentiated instant; conversation loses dialogue if distinct speakers collapse into one. Finite conditions can therefore partly constitute a good instead of merely subtracting quantity from it. Augustine’s passing words and Bonaventure’s proportion illuminate this role of organization. Those standards can be assessed independently of whether God causes the example. Corresponding goodness need not exist in God as that same melody or conversation: causal adequacy preserves positive content with difference of mode.</w:t>
      </w:r>
    </w:p>
    <w:p>
      <w:pPr>
        <w:pStyle w:val="BodyText"/>
      </w:pPr>
      <w:r>
        <w:t xml:space="preserve">Ask whether removing a condition perfects the same good, abolishes that kind of good, or removes an adversity to which the good was a response. This distinguishes ignorance, musical succession, and danger. The goodness of courage or healing gives no permission to manufacture threats or illness.</w:t>
      </w:r>
    </w:p>
    <w:p>
      <w:pPr>
        <w:pStyle w:val="BodyText"/>
      </w:pPr>
      <w:r>
        <w:t xml:space="preserve">What follows if they hold?</w:t>
      </w:r>
    </w:p>
    <w:p>
      <w:pPr>
        <w:pStyle w:val="BodyText"/>
      </w:pPr>
      <w:r>
        <w:t xml:space="preserve">Created histories can contain genuinely new goods for creatures without improving God. Their particularity explains why this friendship or response matters.</w:t>
      </w:r>
    </w:p>
    <w:p>
      <w:pPr>
        <w:pStyle w:val="BodyText"/>
      </w:pPr>
      <w:r>
        <w:t xml:space="preserve">What remains to defend: Particular goods need their own evaluative defense. This does not make every limitation good, justify injury, or establish a complete theodicy.</w:t>
      </w:r>
    </w:p>
    <w:p>
      <w:pPr>
        <w:pStyle w:val="BodyText"/>
      </w:pPr>
      <w:hyperlink r:id="rId78">
        <w:r>
          <w:rPr>
            <w:rStyle w:val="Hyperlink"/>
          </w:rPr>
          <w:t xml:space="preserve">How finite measure can constitute a good</w:t>
        </w:r>
      </w:hyperlink>
      <w:r>
        <w:t xml:space="preserve"> </w:t>
      </w:r>
      <w:r>
        <w:t xml:space="preserve">·</w:t>
      </w:r>
      <w:r>
        <w:t xml:space="preserve"> </w:t>
      </w:r>
      <w:hyperlink r:id="rId79">
        <w:r>
          <w:rPr>
            <w:rStyle w:val="Hyperlink"/>
          </w:rPr>
          <w:t xml:space="preserve">Ratzinger, Augustine, and Bonaventure</w:t>
        </w:r>
      </w:hyperlink>
    </w:p>
    <w:bookmarkEnd w:id="310"/>
    <w:bookmarkEnd w:id="311"/>
    <w:bookmarkEnd w:id="312"/>
    <w:bookmarkEnd w:id="313"/>
    <w:p>
      <w:pPr>
        <w:pStyle w:val="Heading1"/>
      </w:pPr>
      <w:r>
        <w:t xml:space="preserve">Appendix B — real-difference-formal.md</w:t>
      </w:r>
    </w:p>
    <w:p>
      <w:pPr>
        <w:pStyle w:val="FirstParagraph"/>
      </w:pPr>
      <w:r>
        <w:t xml:space="preserve">Original research file: https:/​/​participation-​6o4.​pages.​dev/​research/​real-​difference-​formal.​md</w:t>
      </w:r>
    </w:p>
    <w:bookmarkStart w:id="320" w:name="X9135f93ff2388b79949a057f51e93f96356c495"/>
    <w:p>
      <w:pPr>
        <w:pStyle w:val="Heading2"/>
      </w:pPr>
      <w:r>
        <w:t xml:space="preserve">Divine Agency: Simplicity and Free Creation — formal audit</w:t>
      </w:r>
    </w:p>
    <w:bookmarkStart w:id="314" w:name="X871826e0617ee27b8ded2e4c3541877367877d6"/>
    <w:p>
      <w:pPr>
        <w:pStyle w:val="Heading3"/>
      </w:pPr>
      <w:r>
        <w:t xml:space="preserve">Status: an explanatory test, rather than a proof</w:t>
      </w:r>
    </w:p>
    <w:p>
      <w:pPr>
        <w:pStyle w:val="FirstParagraph"/>
      </w:pPr>
      <w:r>
        <w:t xml:space="preserve">The question is how God can freely and knowingly create this world rather than another while God’s intrinsic actuality—his own being—remains the same across those alternatives. This is stronger than saying that God acquires no new feature over time. The page’s deeper focus is where the relevant differences belong—in outcomes, intentions, actions, relationships, or knowledge.</w:t>
      </w:r>
    </w:p>
    <w:p>
      <w:pPr>
        <w:pStyle w:val="BodyText"/>
      </w:pPr>
      <w:r>
        <w:t xml:space="preserve">This is a constructive continuation of the first two pages. The interactive inspector compares explicitly assigned example facts. Passing its checks establishes what those records contain and how the selected explanation fits them. It does not establish genuine metaphysical possibility, absolute underivation, complete intrinsic invariance, divine freedom, or omniscience.</w:t>
      </w:r>
    </w:p>
    <w:p>
      <w:pPr>
        <w:pStyle w:val="BodyText"/>
      </w:pPr>
      <w:r>
        <w:t xml:space="preserve">The positive result is a set of necessary distinctions. What an agent produces, intends, actually does, and knows perform different explanatory work. What a recipient receives and recognizes also differ. No fact in one category automatically supplies all the others.</w:t>
      </w:r>
    </w:p>
    <w:bookmarkEnd w:id="314"/>
    <w:bookmarkStart w:id="315" w:name="small-notation-disclosed-assumptions"/>
    <w:p>
      <w:pPr>
        <w:pStyle w:val="Heading3"/>
      </w:pPr>
      <w:r>
        <w:t xml:space="preserve">Small notation, disclosed assumptions</w:t>
      </w:r>
    </w:p>
    <w:p>
      <w:pPr>
        <w:pStyle w:val="FirstParagraph"/>
      </w:pPr>
      <w:r>
        <w:t xml:space="preserve">Let</w:t>
      </w:r>
      <w:r>
        <w:t xml:space="preserve"> </w:t>
      </w:r>
      <w:r>
        <w:rPr>
          <w:rStyle w:val="VerbatimChar"/>
        </w:rPr>
        <w:t xml:space="preserve">g</w:t>
      </w:r>
      <w:r>
        <w:t xml:space="preserve"> </w:t>
      </w:r>
      <w:r>
        <w:t xml:space="preserve">denote an agent,</w:t>
      </w:r>
      <w:r>
        <w:t xml:space="preserve"> </w:t>
      </w:r>
      <w:r>
        <w:rPr>
          <w:rStyle w:val="VerbatimChar"/>
        </w:rPr>
        <w:t xml:space="preserve">e</w:t>
      </w:r>
      <w:r>
        <w:t xml:space="preserve"> </w:t>
      </w:r>
      <w:r>
        <w:t xml:space="preserve">an actual action,</w:t>
      </w:r>
      <w:r>
        <w:t xml:space="preserve"> </w:t>
      </w:r>
      <w:r>
        <w:rPr>
          <w:rStyle w:val="VerbatimChar"/>
        </w:rPr>
        <w:t xml:space="preserve">p</w:t>
      </w:r>
      <w:r>
        <w:t xml:space="preserve"> </w:t>
      </w:r>
      <w:r>
        <w:t xml:space="preserve">what the agent intends, and</w:t>
      </w:r>
      <w:r>
        <w:t xml:space="preserve"> </w:t>
      </w:r>
      <w:r>
        <w:rPr>
          <w:rStyle w:val="VerbatimChar"/>
        </w:rPr>
        <w:t xml:space="preserve">x</w:t>
      </w:r>
      <w:r>
        <w:t xml:space="preserve"> </w:t>
      </w:r>
      <w:r>
        <w:t xml:space="preserve">the created outcome.</w:t>
      </w:r>
    </w:p>
    <w:p>
      <w:pPr>
        <w:pStyle w:val="Compact"/>
        <w:numPr>
          <w:ilvl w:val="0"/>
          <w:numId w:val="1055"/>
        </w:numPr>
      </w:pPr>
      <w:r>
        <w:rPr>
          <w:rStyle w:val="VerbatimChar"/>
        </w:rPr>
        <w:t xml:space="preserve">S(g,e,p)</w:t>
      </w:r>
      <w:r>
        <w:t xml:space="preserve">: g actually performs and controls action e, intending p.</w:t>
      </w:r>
    </w:p>
    <w:p>
      <w:pPr>
        <w:pStyle w:val="Compact"/>
        <w:numPr>
          <w:ilvl w:val="0"/>
          <w:numId w:val="1055"/>
        </w:numPr>
      </w:pPr>
      <w:r>
        <w:rPr>
          <w:rStyle w:val="VerbatimChar"/>
        </w:rPr>
        <w:t xml:space="preserve">T(e,x)</w:t>
      </w:r>
      <w:r>
        <w:t xml:space="preserve">: e effectively produces x as intended.</w:t>
      </w:r>
    </w:p>
    <w:p>
      <w:pPr>
        <w:pStyle w:val="Compact"/>
        <w:numPr>
          <w:ilvl w:val="0"/>
          <w:numId w:val="1055"/>
        </w:numPr>
      </w:pPr>
      <w:r>
        <w:rPr>
          <w:rStyle w:val="VerbatimChar"/>
        </w:rPr>
        <w:t xml:space="preserve">U(g)</w:t>
      </w:r>
      <w:r>
        <w:t xml:space="preserve">: g does not receive the actuality of its being through dependence on anything else.</w:t>
      </w:r>
    </w:p>
    <w:p>
      <w:pPr>
        <w:pStyle w:val="Compact"/>
        <w:numPr>
          <w:ilvl w:val="0"/>
          <w:numId w:val="1055"/>
        </w:numPr>
      </w:pPr>
      <w:r>
        <w:rPr>
          <w:rStyle w:val="VerbatimChar"/>
        </w:rPr>
        <w:t xml:space="preserve">SelfAccess(g,e)</w:t>
      </w:r>
      <w:r>
        <w:t xml:space="preserve">: g has accurate awareness of this actual action; whether it counts as knowledge is not built into this predicate.</w:t>
      </w:r>
    </w:p>
    <w:p>
      <w:pPr>
        <w:pStyle w:val="Compact"/>
        <w:numPr>
          <w:ilvl w:val="0"/>
          <w:numId w:val="1055"/>
        </w:numPr>
      </w:pPr>
      <w:r>
        <w:rPr>
          <w:rStyle w:val="VerbatimChar"/>
        </w:rPr>
        <w:t xml:space="preserve">Transparency(e,x)</w:t>
      </w:r>
      <w:r>
        <w:t xml:space="preserve">: its relevant outcome is adequately disclosed through that action.</w:t>
      </w:r>
    </w:p>
    <w:p>
      <w:pPr>
        <w:pStyle w:val="Compact"/>
        <w:numPr>
          <w:ilvl w:val="0"/>
          <w:numId w:val="1055"/>
        </w:numPr>
      </w:pPr>
      <w:r>
        <w:rPr>
          <w:rStyle w:val="VerbatimChar"/>
        </w:rPr>
        <w:t xml:space="preserve">Warrant(g,e)</w:t>
      </w:r>
      <w:r>
        <w:t xml:space="preserve">: the inference from awareness of the action and disclosure of its effect to knowledge of x has adequate justification.</w:t>
      </w:r>
    </w:p>
    <w:p>
      <w:pPr>
        <w:pStyle w:val="FirstParagraph"/>
      </w:pPr>
      <w:r>
        <w:t xml:space="preserve">S is a</w:t>
      </w:r>
      <w:r>
        <w:t xml:space="preserve"> </w:t>
      </w:r>
      <w:r>
        <w:rPr>
          <w:b/>
          <w:bCs/>
        </w:rPr>
        <w:t xml:space="preserve">compound abbreviation</w:t>
      </w:r>
      <w:r>
        <w:t xml:space="preserve">, not a new name that proves agency. It includes actual action, control, and intention. Intelligence and freedom have not been derived from existence. T adds effective production; an intention does not produce its outcome merely by being intended. Possibility, reasons, voluntary control, efficacy, and cognitive adequacy still require independent arguments.</w:t>
      </w:r>
    </w:p>
    <w:p>
      <w:pPr>
        <w:pStyle w:val="BodyText"/>
      </w:pPr>
      <w:r>
        <w:t xml:space="preserve">The inherited argument from dependence on constituents, together with U, excludes proper intrinsic constituents that make the source dependent. It does not classify every distinction as a part. Nor does having no proper parts establish intrinsic invariance: remaining the same in one’s own being across alternatives.</w:t>
      </w:r>
    </w:p>
    <w:p>
      <w:pPr>
        <w:pStyle w:val="BodyText"/>
      </w:pPr>
      <w:r>
        <w:t xml:space="preserve">The conditional argument is:</w:t>
      </w:r>
    </w:p>
    <w:p>
      <w:pPr>
        <w:pStyle w:val="SourceCode"/>
      </w:pPr>
      <w:r>
        <w:rPr>
          <w:rStyle w:val="VerbatimChar"/>
        </w:rPr>
        <w:t xml:space="preserve">S(g,e,p) + T(e,x)</w:t>
      </w:r>
      <w:r>
        <w:br/>
      </w:r>
      <w:r>
        <w:rPr>
          <w:rStyle w:val="VerbatimChar"/>
        </w:rPr>
        <w:t xml:space="preserve">    ⇒ an intentional action that effectively produces x</w:t>
      </w:r>
      <w:r>
        <w:br/>
      </w:r>
      <w:r>
        <w:br/>
      </w:r>
      <w:r>
        <w:rPr>
          <w:rStyle w:val="VerbatimChar"/>
        </w:rPr>
        <w:t xml:space="preserve">S(g,e,p) + T(e,x) + SelfAccess(g,e)</w:t>
      </w:r>
      <w:r>
        <w:br/>
      </w:r>
      <w:r>
        <w:rPr>
          <w:rStyle w:val="VerbatimChar"/>
        </w:rPr>
        <w:t xml:space="preserve">    + Transparency(e,x) + Warrant(g,e)</w:t>
      </w:r>
      <w:r>
        <w:br/>
      </w:r>
      <w:r>
        <w:rPr>
          <w:rStyle w:val="VerbatimChar"/>
        </w:rPr>
        <w:t xml:space="preserve">    ⇒ justified knowledge of x through the action</w:t>
      </w:r>
    </w:p>
    <w:p>
      <w:pPr>
        <w:pStyle w:val="FirstParagraph"/>
      </w:pPr>
      <w:r>
        <w:t xml:space="preserve">The second conclusion applies only within its stated scope. Knowing a power or all possible plans does not disclose which action is actual. Truth alone, matching true beliefs, or a</w:t>
      </w:r>
      <w:r>
        <w:t xml:space="preserve"> </w:t>
      </w:r>
      <w:r>
        <w:t xml:space="preserve">“</w:t>
      </w:r>
      <w:r>
        <w:t xml:space="preserve">knowledge</w:t>
      </w:r>
      <w:r>
        <w:t xml:space="preserve">”</w:t>
      </w:r>
      <w:r>
        <w:t xml:space="preserve"> </w:t>
      </w:r>
      <w:r>
        <w:t xml:space="preserve">label does not establish an adequate route to knowledge. Freely permitted creaturely acts require further access where their particular choices are neither determined nor disclosed by God’s initiating action. Knowledge of events in time also needs its own account.</w:t>
      </w:r>
    </w:p>
    <w:bookmarkEnd w:id="315"/>
    <w:bookmarkStart w:id="316" w:name="six-cases-sixteen-variants"/>
    <w:p>
      <w:pPr>
        <w:pStyle w:val="Heading3"/>
      </w:pPr>
      <w:r>
        <w:t xml:space="preserve">Six cases, sixteen variants</w:t>
      </w:r>
    </w:p>
    <w:p>
      <w:pPr>
        <w:pStyle w:val="FirstParagraph"/>
      </w:pPr>
      <w:r>
        <w:t xml:space="preserve">The inspector distinguishes intrinsic facts, relationships, actions, control, intentions, explanatory roles, what realizes those roles, representations, truth, access, justification, knowledge, capacities, choices, absences, constituents, and dependence. Missing records mean</w:t>
      </w:r>
      <w:r>
        <w:t xml:space="preserve"> </w:t>
      </w:r>
      <w:r>
        <w:t xml:space="preserve">“</w:t>
      </w:r>
      <w:r>
        <w:t xml:space="preserve">not supplied in this display,</w:t>
      </w:r>
      <w:r>
        <w:t xml:space="preserve">”</w:t>
      </w:r>
      <w:r>
        <w:t xml:space="preserve"> </w:t>
      </w:r>
      <w:r>
        <w:t xml:space="preserve">rather than universal nonexistence.</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Case</w:t>
            </w:r>
          </w:p>
        </w:tc>
        <w:tc>
          <w:tcPr>
            <w:tcW w:type="dxa" w:w="2749"/>
            <w:shd w:fill="EAE5DA"/>
          </w:tcPr>
          <w:p>
            <w:pPr>
              <w:pStyle w:val="BodyText"/>
              <w:keepNext w:val="0"/>
              <w:spacing w:after="80" w:line="252" w:lineRule="auto"/>
              <w:jc w:val="left"/>
            </w:pPr>
            <w:r>
              <w:rPr>
                <w:rFonts w:ascii="Calibri" w:hAnsi="Calibri"/>
                <w:b/>
                <w:sz w:val="17"/>
              </w:rPr>
              <w:t xml:space="preserve">Variants</w:t>
            </w:r>
          </w:p>
        </w:tc>
        <w:tc>
          <w:tcPr>
            <w:tcW w:type="dxa" w:w="2749"/>
            <w:shd w:fill="EAE5DA"/>
          </w:tcPr>
          <w:p>
            <w:pPr>
              <w:pStyle w:val="BodyText"/>
              <w:keepNext w:val="0"/>
              <w:spacing w:after="80" w:line="252" w:lineRule="auto"/>
              <w:jc w:val="left"/>
            </w:pPr>
            <w:r>
              <w:rPr>
                <w:rFonts w:ascii="Calibri" w:hAnsi="Calibri"/>
                <w:b/>
                <w:sz w:val="17"/>
              </w:rPr>
              <w:t xml:space="preserve">What the display tests</w:t>
            </w:r>
          </w:p>
        </w:tc>
        <w:tc>
          <w:tcPr>
            <w:tcW w:type="dxa" w:w="2749"/>
            <w:shd w:fill="EAE5DA"/>
          </w:tcPr>
          <w:p>
            <w:pPr>
              <w:pStyle w:val="BodyText"/>
              <w:keepNext w:val="0"/>
              <w:spacing w:after="80" w:line="252" w:lineRule="auto"/>
              <w:jc w:val="left"/>
            </w:pPr>
            <w:r>
              <w:rPr>
                <w:rFonts w:ascii="Calibri" w:hAnsi="Calibri"/>
                <w:b/>
                <w:sz w:val="17"/>
              </w:rPr>
              <w:t xml:space="preserve">What it does not prove</w:t>
            </w:r>
          </w:p>
        </w:tc>
      </w:tr>
      <w:tr>
        <w:tc>
          <w:tcPr>
            <w:tcW w:type="dxa" w:w="1689"/>
          </w:tcPr>
          <w:p>
            <w:pPr>
              <w:pStyle w:val="BodyText"/>
              <w:keepNext w:val="0"/>
              <w:spacing w:after="80" w:line="252" w:lineRule="auto"/>
              <w:jc w:val="left"/>
            </w:pPr>
            <w:r>
              <w:rPr>
                <w:rFonts w:ascii="Calibri" w:hAnsi="Calibri"/>
                <w:sz w:val="17"/>
              </w:rPr>
              <w:t xml:space="preserve">One light, different receptions</w:t>
            </w:r>
          </w:p>
        </w:tc>
        <w:tc>
          <w:tcPr>
            <w:tcW w:type="dxa" w:w="2749"/>
          </w:tcPr>
          <w:p>
            <w:pPr>
              <w:pStyle w:val="BodyText"/>
              <w:keepNext w:val="0"/>
              <w:spacing w:after="80" w:line="252" w:lineRule="auto"/>
              <w:jc w:val="left"/>
            </w:pPr>
            <w:r>
              <w:rPr>
                <w:rFonts w:ascii="Calibri" w:hAnsi="Calibri"/>
                <w:sz w:val="17"/>
              </w:rPr>
              <w:t xml:space="preserve">Recipient moves; observer-only relative change</w:t>
            </w:r>
          </w:p>
        </w:tc>
        <w:tc>
          <w:tcPr>
            <w:tcW w:type="dxa" w:w="2749"/>
          </w:tcPr>
          <w:p>
            <w:pPr>
              <w:pStyle w:val="BodyText"/>
              <w:keepNext w:val="0"/>
              <w:spacing w:after="80" w:line="252" w:lineRule="auto"/>
              <w:jc w:val="left"/>
            </w:pPr>
            <w:r>
              <w:rPr>
                <w:rFonts w:ascii="Calibri" w:hAnsi="Calibri"/>
                <w:sz w:val="17"/>
              </w:rPr>
              <w:t xml:space="preserve">Received light can vary with recipient conditions while recorded radiant power stays steady. A changed relative description does not establish causal action.</w:t>
            </w:r>
          </w:p>
        </w:tc>
        <w:tc>
          <w:tcPr>
            <w:tcW w:type="dxa" w:w="2749"/>
          </w:tcPr>
          <w:p>
            <w:pPr>
              <w:pStyle w:val="BodyText"/>
              <w:keepNext w:val="0"/>
              <w:spacing w:after="80" w:line="252" w:lineRule="auto"/>
              <w:jc w:val="left"/>
            </w:pPr>
            <w:r>
              <w:rPr>
                <w:rFonts w:ascii="Calibri" w:hAnsi="Calibri"/>
                <w:sz w:val="17"/>
              </w:rPr>
              <w:t xml:space="preserve">Every intrinsic lamp property is invariant, or God is simple.</w:t>
            </w:r>
          </w:p>
        </w:tc>
      </w:tr>
      <w:tr>
        <w:tc>
          <w:tcPr>
            <w:tcW w:type="dxa" w:w="1689"/>
          </w:tcPr>
          <w:p>
            <w:pPr>
              <w:pStyle w:val="BodyText"/>
              <w:keepNext w:val="0"/>
              <w:spacing w:after="80" w:line="252" w:lineRule="auto"/>
              <w:jc w:val="left"/>
            </w:pPr>
            <w:r>
              <w:rPr>
                <w:rFonts w:ascii="Calibri" w:hAnsi="Calibri"/>
                <w:sz w:val="17"/>
              </w:rPr>
              <w:t xml:space="preserve">One gift, different intended goods</w:t>
            </w:r>
          </w:p>
        </w:tc>
        <w:tc>
          <w:tcPr>
            <w:tcW w:type="dxa" w:w="2749"/>
          </w:tcPr>
          <w:p>
            <w:pPr>
              <w:pStyle w:val="BodyText"/>
              <w:keepNext w:val="0"/>
              <w:spacing w:after="80" w:line="252" w:lineRule="auto"/>
              <w:jc w:val="left"/>
            </w:pPr>
            <w:r>
              <w:rPr>
                <w:rFonts w:ascii="Calibri" w:hAnsi="Calibri"/>
                <w:sz w:val="17"/>
              </w:rPr>
              <w:t xml:space="preserve">Two controlled gifts; accidental benefit</w:t>
            </w:r>
          </w:p>
        </w:tc>
        <w:tc>
          <w:tcPr>
            <w:tcW w:type="dxa" w:w="2749"/>
          </w:tcPr>
          <w:p>
            <w:pPr>
              <w:pStyle w:val="BodyText"/>
              <w:keepNext w:val="0"/>
              <w:spacing w:after="80" w:line="252" w:lineRule="auto"/>
              <w:jc w:val="left"/>
            </w:pPr>
            <w:r>
              <w:rPr>
                <w:rFonts w:ascii="Calibri" w:hAnsi="Calibri"/>
                <w:sz w:val="17"/>
              </w:rPr>
              <w:t xml:space="preserve">The same recorded blanket outcome can serve different controlled intentions. Warmth alone does not establish an intentional gift.</w:t>
            </w:r>
          </w:p>
        </w:tc>
        <w:tc>
          <w:tcPr>
            <w:tcW w:type="dxa" w:w="2749"/>
          </w:tcPr>
          <w:p>
            <w:pPr>
              <w:pStyle w:val="BodyText"/>
              <w:keepNext w:val="0"/>
              <w:spacing w:after="80" w:line="252" w:lineRule="auto"/>
              <w:jc w:val="left"/>
            </w:pPr>
            <w:r>
              <w:rPr>
                <w:rFonts w:ascii="Calibri" w:hAnsi="Calibri"/>
                <w:sz w:val="17"/>
              </w:rPr>
              <w:t xml:space="preserve">Human intention is extrinsic, or divine intention must be relational.</w:t>
            </w:r>
          </w:p>
        </w:tc>
      </w:tr>
      <w:tr>
        <w:tc>
          <w:tcPr>
            <w:tcW w:type="dxa" w:w="1689"/>
          </w:tcPr>
          <w:p>
            <w:pPr>
              <w:pStyle w:val="BodyText"/>
              <w:keepNext w:val="0"/>
              <w:spacing w:after="80" w:line="252" w:lineRule="auto"/>
              <w:jc w:val="left"/>
            </w:pPr>
            <w:r>
              <w:rPr>
                <w:rFonts w:ascii="Calibri" w:hAnsi="Calibri"/>
                <w:sz w:val="17"/>
              </w:rPr>
              <w:t xml:space="preserve">Different descriptions</w:t>
            </w:r>
          </w:p>
        </w:tc>
        <w:tc>
          <w:tcPr>
            <w:tcW w:type="dxa" w:w="2749"/>
          </w:tcPr>
          <w:p>
            <w:pPr>
              <w:pStyle w:val="BodyText"/>
              <w:keepNext w:val="0"/>
              <w:spacing w:after="80" w:line="252" w:lineRule="auto"/>
              <w:jc w:val="left"/>
            </w:pPr>
            <w:r>
              <w:rPr>
                <w:rFonts w:ascii="Calibri" w:hAnsi="Calibri"/>
                <w:sz w:val="17"/>
              </w:rPr>
              <w:t xml:space="preserve">Roles alone; one assigned realizer; two assigned realizers</w:t>
            </w:r>
          </w:p>
        </w:tc>
        <w:tc>
          <w:tcPr>
            <w:tcW w:type="dxa" w:w="2749"/>
          </w:tcPr>
          <w:p>
            <w:pPr>
              <w:pStyle w:val="BodyText"/>
              <w:keepNext w:val="0"/>
              <w:spacing w:after="80" w:line="252" w:lineRule="auto"/>
              <w:jc w:val="left"/>
            </w:pPr>
            <w:r>
              <w:rPr>
                <w:rFonts w:ascii="Calibri" w:hAnsi="Calibri"/>
                <w:sz w:val="17"/>
              </w:rPr>
              <w:t xml:space="preserve">Different role names leave open what realizes them. Assigning one or two realizers adds information.</w:t>
            </w:r>
          </w:p>
        </w:tc>
        <w:tc>
          <w:tcPr>
            <w:tcW w:type="dxa" w:w="2749"/>
          </w:tcPr>
          <w:p>
            <w:pPr>
              <w:pStyle w:val="BodyText"/>
              <w:keepNext w:val="0"/>
              <w:spacing w:after="80" w:line="252" w:lineRule="auto"/>
              <w:jc w:val="left"/>
            </w:pPr>
            <w:r>
              <w:rPr>
                <w:rFonts w:ascii="Calibri" w:hAnsi="Calibri"/>
                <w:sz w:val="17"/>
              </w:rPr>
              <w:t xml:space="preserve">One realizer proves simplicity, or two realizers establish dependence on constituents.</w:t>
            </w:r>
          </w:p>
        </w:tc>
      </w:tr>
      <w:tr>
        <w:tc>
          <w:tcPr>
            <w:tcW w:type="dxa" w:w="1689"/>
          </w:tcPr>
          <w:p>
            <w:pPr>
              <w:pStyle w:val="BodyText"/>
              <w:keepNext w:val="0"/>
              <w:spacing w:after="80" w:line="252" w:lineRule="auto"/>
              <w:jc w:val="left"/>
            </w:pPr>
            <w:r>
              <w:rPr>
                <w:rFonts w:ascii="Calibri" w:hAnsi="Calibri"/>
                <w:sz w:val="17"/>
              </w:rPr>
              <w:t xml:space="preserve">Knowledge claims</w:t>
            </w:r>
          </w:p>
        </w:tc>
        <w:tc>
          <w:tcPr>
            <w:tcW w:type="dxa" w:w="2749"/>
          </w:tcPr>
          <w:p>
            <w:pPr>
              <w:pStyle w:val="BodyText"/>
              <w:keepNext w:val="0"/>
              <w:spacing w:after="80" w:line="252" w:lineRule="auto"/>
              <w:jc w:val="left"/>
            </w:pPr>
            <w:r>
              <w:rPr>
                <w:rFonts w:ascii="Calibri" w:hAnsi="Calibri"/>
                <w:sz w:val="17"/>
              </w:rPr>
              <w:t xml:space="preserve">Justified access; lucky truth; unsupported knowledge label</w:t>
            </w:r>
          </w:p>
        </w:tc>
        <w:tc>
          <w:tcPr>
            <w:tcW w:type="dxa" w:w="2749"/>
          </w:tcPr>
          <w:p>
            <w:pPr>
              <w:pStyle w:val="BodyText"/>
              <w:keepNext w:val="0"/>
              <w:spacing w:after="80" w:line="252" w:lineRule="auto"/>
              <w:jc w:val="left"/>
            </w:pPr>
            <w:r>
              <w:rPr>
                <w:rFonts w:ascii="Calibri" w:hAnsi="Calibri"/>
                <w:sz w:val="17"/>
              </w:rPr>
              <w:t xml:space="preserve">Truth, access, justification, and a knowledge claim are checked separately. The label alone supplies no justification.</w:t>
            </w:r>
          </w:p>
        </w:tc>
        <w:tc>
          <w:tcPr>
            <w:tcW w:type="dxa" w:w="2749"/>
          </w:tcPr>
          <w:p>
            <w:pPr>
              <w:pStyle w:val="BodyText"/>
              <w:keepNext w:val="0"/>
              <w:spacing w:after="80" w:line="252" w:lineRule="auto"/>
              <w:jc w:val="left"/>
            </w:pPr>
            <w:r>
              <w:rPr>
                <w:rFonts w:ascii="Calibri" w:hAnsi="Calibri"/>
                <w:sz w:val="17"/>
              </w:rPr>
              <w:t xml:space="preserve">A complete theory of knowledge, or divine knowledge without learning from effects.</w:t>
            </w:r>
          </w:p>
        </w:tc>
      </w:tr>
      <w:tr>
        <w:tc>
          <w:tcPr>
            <w:tcW w:type="dxa" w:w="1689"/>
          </w:tcPr>
          <w:p>
            <w:pPr>
              <w:pStyle w:val="BodyText"/>
              <w:keepNext w:val="0"/>
              <w:spacing w:after="80" w:line="252" w:lineRule="auto"/>
              <w:jc w:val="left"/>
            </w:pPr>
            <w:r>
              <w:rPr>
                <w:rFonts w:ascii="Calibri" w:hAnsi="Calibri"/>
                <w:sz w:val="17"/>
              </w:rPr>
              <w:t xml:space="preserve">An absent outward effect</w:t>
            </w:r>
          </w:p>
        </w:tc>
        <w:tc>
          <w:tcPr>
            <w:tcW w:type="dxa" w:w="2749"/>
          </w:tcPr>
          <w:p>
            <w:pPr>
              <w:pStyle w:val="BodyText"/>
              <w:keepNext w:val="0"/>
              <w:spacing w:after="80" w:line="252" w:lineRule="auto"/>
              <w:jc w:val="left"/>
            </w:pPr>
            <w:r>
              <w:rPr>
                <w:rFonts w:ascii="Calibri" w:hAnsi="Calibri"/>
                <w:sz w:val="17"/>
              </w:rPr>
              <w:t xml:space="preserve">Deliberate restraint; incapacity; absence alone</w:t>
            </w:r>
          </w:p>
        </w:tc>
        <w:tc>
          <w:tcPr>
            <w:tcW w:type="dxa" w:w="2749"/>
          </w:tcPr>
          <w:p>
            <w:pPr>
              <w:pStyle w:val="BodyText"/>
              <w:keepNext w:val="0"/>
              <w:spacing w:after="80" w:line="252" w:lineRule="auto"/>
              <w:jc w:val="left"/>
            </w:pPr>
            <w:r>
              <w:rPr>
                <w:rFonts w:ascii="Calibri" w:hAnsi="Calibri"/>
                <w:sz w:val="17"/>
              </w:rPr>
              <w:t xml:space="preserve">Deliberately refraining needs positive capacity, control, intention, and choice.</w:t>
            </w:r>
          </w:p>
        </w:tc>
        <w:tc>
          <w:tcPr>
            <w:tcW w:type="dxa" w:w="2749"/>
          </w:tcPr>
          <w:p>
            <w:pPr>
              <w:pStyle w:val="BodyText"/>
              <w:keepNext w:val="0"/>
              <w:spacing w:after="80" w:line="252" w:lineRule="auto"/>
              <w:jc w:val="left"/>
            </w:pPr>
            <w:r>
              <w:rPr>
                <w:rFonts w:ascii="Calibri" w:hAnsi="Calibri"/>
                <w:sz w:val="17"/>
              </w:rPr>
              <w:t xml:space="preserve">God can refrain from creation, or an empty set of effects establishes a free choice.</w:t>
            </w:r>
          </w:p>
        </w:tc>
      </w:tr>
      <w:tr>
        <w:tc>
          <w:tcPr>
            <w:tcW w:type="dxa" w:w="1689"/>
          </w:tcPr>
          <w:p>
            <w:pPr>
              <w:pStyle w:val="BodyText"/>
              <w:keepNext w:val="0"/>
              <w:spacing w:after="80" w:line="252" w:lineRule="auto"/>
              <w:jc w:val="left"/>
            </w:pPr>
            <w:r>
              <w:rPr>
                <w:rFonts w:ascii="Calibri" w:hAnsi="Calibri"/>
                <w:sz w:val="17"/>
              </w:rPr>
              <w:t xml:space="preserve">Conditional divine-action model</w:t>
            </w:r>
          </w:p>
        </w:tc>
        <w:tc>
          <w:tcPr>
            <w:tcW w:type="dxa" w:w="2749"/>
          </w:tcPr>
          <w:p>
            <w:pPr>
              <w:pStyle w:val="BodyText"/>
              <w:keepNext w:val="0"/>
              <w:spacing w:after="80" w:line="252" w:lineRule="auto"/>
              <w:jc w:val="left"/>
            </w:pPr>
            <w:r>
              <w:rPr>
                <w:rFonts w:ascii="Calibri" w:hAnsi="Calibri"/>
                <w:sz w:val="17"/>
              </w:rPr>
              <w:t xml:space="preserve">Relational action; the same powers alone; intrinsic differences in intention</w:t>
            </w:r>
          </w:p>
        </w:tc>
        <w:tc>
          <w:tcPr>
            <w:tcW w:type="dxa" w:w="2749"/>
          </w:tcPr>
          <w:p>
            <w:pPr>
              <w:pStyle w:val="BodyText"/>
              <w:keepNext w:val="0"/>
              <w:spacing w:after="80" w:line="252" w:lineRule="auto"/>
              <w:jc w:val="left"/>
            </w:pPr>
            <w:r>
              <w:rPr>
                <w:rFonts w:ascii="Calibri" w:hAnsi="Calibri"/>
                <w:sz w:val="17"/>
              </w:rPr>
              <w:t xml:space="preserve">Actual controlled choices require more than a description of powers. Intrinsic differences need not assign proper parts in these sparse records.</w:t>
            </w:r>
          </w:p>
        </w:tc>
        <w:tc>
          <w:tcPr>
            <w:tcW w:type="dxa" w:w="2749"/>
          </w:tcPr>
          <w:p>
            <w:pPr>
              <w:pStyle w:val="BodyText"/>
              <w:keepNext w:val="0"/>
              <w:spacing w:after="80" w:line="252" w:lineRule="auto"/>
              <w:jc w:val="left"/>
            </w:pPr>
            <w:r>
              <w:rPr>
                <w:rFonts w:ascii="Calibri" w:hAnsi="Calibri"/>
                <w:sz w:val="17"/>
              </w:rPr>
              <w:t xml:space="preserve">Genuine metaphysical possibility, full simplicity, or exhaustive divine awareness.</w:t>
            </w:r>
          </w:p>
        </w:tc>
      </w:tr>
    </w:tbl>
    <w:p>
      <w:pPr>
        <w:pStyle w:val="BodyText"/>
      </w:pPr>
      <w:r>
        <w:t xml:space="preserve">The divine-action case compares</w:t>
      </w:r>
      <w:r>
        <w:t xml:space="preserve"> </w:t>
      </w:r>
      <w:r>
        <w:rPr>
          <w:rStyle w:val="VerbatimChar"/>
        </w:rPr>
        <w:t xml:space="preserve">wA</w:t>
      </w:r>
      <w:r>
        <w:t xml:space="preserve"> </w:t>
      </w:r>
      <w:r>
        <w:t xml:space="preserve">and</w:t>
      </w:r>
      <w:r>
        <w:t xml:space="preserve"> </w:t>
      </w:r>
      <w:r>
        <w:rPr>
          <w:rStyle w:val="VerbatimChar"/>
        </w:rPr>
        <w:t xml:space="preserve">wB</w:t>
      </w:r>
      <w:r>
        <w:t xml:space="preserve"> </w:t>
      </w:r>
      <w:r>
        <w:t xml:space="preserve">as alternatives, rather than temporal stages of God. It assumes unreceived power in both. In the relational variant, actual controlled actions differ while displayed intrinsic facts match. In the intrinsic-variance variant, different intrinsic intentions are assigned without proper parts or incoming dependence. In the profile-only variant, no actual choice is assigned. Matching displayed facts does not establish that they exhaust God’s intrinsic reality.</w:t>
      </w:r>
    </w:p>
    <w:bookmarkEnd w:id="316"/>
    <w:bookmarkStart w:id="317" w:name="Xd71fd222a46095c6f613818ea153bfded24c4f6"/>
    <w:p>
      <w:pPr>
        <w:pStyle w:val="Heading3"/>
      </w:pPr>
      <w:r>
        <w:t xml:space="preserve">Removing an assumption: losses within the proposed explanation</w:t>
      </w:r>
    </w:p>
    <w:tbl>
      <w:tblPr>
        <w:tblStyle w:val="TableGrid"/>
        <w:tblW w:type="dxa" w:w="9936"/>
        <w:jc w:val="left"/>
        <w:tblLayout w:type="fixed"/>
        <w:tblLook w:firstRow="1" w:lastRow="0" w:firstColumn="0" w:lastColumn="0" w:noHBand="0" w:noVBand="0" w:val="0020"/>
      </w:tblPr>
      <w:tblGrid>
        <w:gridCol w:w="3312"/>
        <w:gridCol w:w="3312"/>
        <w:gridCol w:w="3312"/>
      </w:tblGrid>
      <w:tr>
        <w:trPr>
          <w:tblHeader w:val="true"/>
        </w:trPr>
        <w:tc>
          <w:tcPr>
            <w:tcW w:type="dxa" w:w="3312"/>
            <w:shd w:fill="EAE5DA"/>
          </w:tcPr>
          <w:p>
            <w:pPr>
              <w:pStyle w:val="BodyText"/>
              <w:keepNext w:val="0"/>
              <w:spacing w:after="80" w:line="252" w:lineRule="auto"/>
              <w:jc w:val="left"/>
            </w:pPr>
            <w:r>
              <w:rPr>
                <w:rFonts w:ascii="Calibri" w:hAnsi="Calibri"/>
                <w:b/>
                <w:sz w:val="17"/>
              </w:rPr>
              <w:t xml:space="preserve">Removed assumption</w:t>
            </w:r>
          </w:p>
        </w:tc>
        <w:tc>
          <w:tcPr>
            <w:tcW w:type="dxa" w:w="3312"/>
            <w:shd w:fill="EAE5DA"/>
          </w:tcPr>
          <w:p>
            <w:pPr>
              <w:pStyle w:val="BodyText"/>
              <w:keepNext w:val="0"/>
              <w:spacing w:after="80" w:line="252" w:lineRule="auto"/>
              <w:jc w:val="left"/>
            </w:pPr>
            <w:r>
              <w:rPr>
                <w:rFonts w:ascii="Calibri" w:hAnsi="Calibri"/>
                <w:b/>
                <w:sz w:val="17"/>
              </w:rPr>
              <w:t xml:space="preserve">What remains</w:t>
            </w:r>
          </w:p>
        </w:tc>
        <w:tc>
          <w:tcPr>
            <w:tcW w:type="dxa" w:w="3312"/>
            <w:shd w:fill="EAE5DA"/>
          </w:tcPr>
          <w:p>
            <w:pPr>
              <w:pStyle w:val="BodyText"/>
              <w:keepNext w:val="0"/>
              <w:spacing w:after="80" w:line="252" w:lineRule="auto"/>
              <w:jc w:val="left"/>
            </w:pPr>
            <w:r>
              <w:rPr>
                <w:rFonts w:ascii="Calibri" w:hAnsi="Calibri"/>
                <w:b/>
                <w:sz w:val="17"/>
              </w:rPr>
              <w:t xml:space="preserve">What the explanation loses</w:t>
            </w:r>
          </w:p>
        </w:tc>
      </w:tr>
      <w:tr>
        <w:tc>
          <w:tcPr>
            <w:tcW w:type="dxa" w:w="3312"/>
          </w:tcPr>
          <w:p>
            <w:pPr>
              <w:pStyle w:val="BodyText"/>
              <w:keepNext w:val="0"/>
              <w:spacing w:after="80" w:line="252" w:lineRule="auto"/>
              <w:jc w:val="left"/>
            </w:pPr>
            <w:r>
              <w:rPr>
                <w:rFonts w:ascii="Calibri" w:hAnsi="Calibri"/>
                <w:sz w:val="17"/>
              </w:rPr>
              <w:t xml:space="preserve">Recipient conditions</w:t>
            </w:r>
          </w:p>
        </w:tc>
        <w:tc>
          <w:tcPr>
            <w:tcW w:type="dxa" w:w="3312"/>
          </w:tcPr>
          <w:p>
            <w:pPr>
              <w:pStyle w:val="BodyText"/>
              <w:keepNext w:val="0"/>
              <w:spacing w:after="80" w:line="252" w:lineRule="auto"/>
              <w:jc w:val="left"/>
            </w:pPr>
            <w:r>
              <w:rPr>
                <w:rFonts w:ascii="Calibri" w:hAnsi="Calibri"/>
                <w:sz w:val="17"/>
              </w:rPr>
              <w:t xml:space="preserve">Source and described effect</w:t>
            </w:r>
          </w:p>
        </w:tc>
        <w:tc>
          <w:tcPr>
            <w:tcW w:type="dxa" w:w="3312"/>
          </w:tcPr>
          <w:p>
            <w:pPr>
              <w:pStyle w:val="BodyText"/>
              <w:keepNext w:val="0"/>
              <w:spacing w:after="80" w:line="252" w:lineRule="auto"/>
              <w:jc w:val="left"/>
            </w:pPr>
            <w:r>
              <w:rPr>
                <w:rFonts w:ascii="Calibri" w:hAnsi="Calibri"/>
                <w:sz w:val="17"/>
              </w:rPr>
              <w:t xml:space="preserve">Differentiated reception lacks its proposed explanation; a rival mechanism may replace it.</w:t>
            </w:r>
          </w:p>
        </w:tc>
      </w:tr>
      <w:tr>
        <w:tc>
          <w:tcPr>
            <w:tcW w:type="dxa" w:w="3312"/>
          </w:tcPr>
          <w:p>
            <w:pPr>
              <w:pStyle w:val="BodyText"/>
              <w:keepNext w:val="0"/>
              <w:spacing w:after="80" w:line="252" w:lineRule="auto"/>
              <w:jc w:val="left"/>
            </w:pPr>
            <w:r>
              <w:rPr>
                <w:rFonts w:ascii="Calibri" w:hAnsi="Calibri"/>
                <w:sz w:val="17"/>
              </w:rPr>
              <w:t xml:space="preserve">Intention and control</w:t>
            </w:r>
          </w:p>
        </w:tc>
        <w:tc>
          <w:tcPr>
            <w:tcW w:type="dxa" w:w="3312"/>
          </w:tcPr>
          <w:p>
            <w:pPr>
              <w:pStyle w:val="BodyText"/>
              <w:keepNext w:val="0"/>
              <w:spacing w:after="80" w:line="252" w:lineRule="auto"/>
              <w:jc w:val="left"/>
            </w:pPr>
            <w:r>
              <w:rPr>
                <w:rFonts w:ascii="Calibri" w:hAnsi="Calibri"/>
                <w:sz w:val="17"/>
              </w:rPr>
              <w:t xml:space="preserve">Outcome or benefit</w:t>
            </w:r>
          </w:p>
        </w:tc>
        <w:tc>
          <w:tcPr>
            <w:tcW w:type="dxa" w:w="3312"/>
          </w:tcPr>
          <w:p>
            <w:pPr>
              <w:pStyle w:val="BodyText"/>
              <w:keepNext w:val="0"/>
              <w:spacing w:after="80" w:line="252" w:lineRule="auto"/>
              <w:jc w:val="left"/>
            </w:pPr>
            <w:r>
              <w:rPr>
                <w:rFonts w:ascii="Calibri" w:hAnsi="Calibri"/>
                <w:sz w:val="17"/>
              </w:rPr>
              <w:t xml:space="preserve">Intentional agency is unsupported; accidental benefit remains possible.</w:t>
            </w:r>
          </w:p>
        </w:tc>
      </w:tr>
      <w:tr>
        <w:tc>
          <w:tcPr>
            <w:tcW w:type="dxa" w:w="3312"/>
          </w:tcPr>
          <w:p>
            <w:pPr>
              <w:pStyle w:val="BodyText"/>
              <w:keepNext w:val="0"/>
              <w:spacing w:after="80" w:line="252" w:lineRule="auto"/>
              <w:jc w:val="left"/>
            </w:pPr>
            <w:r>
              <w:rPr>
                <w:rFonts w:ascii="Calibri" w:hAnsi="Calibri"/>
                <w:sz w:val="17"/>
              </w:rPr>
              <w:t xml:space="preserve">Actual action</w:t>
            </w:r>
          </w:p>
        </w:tc>
        <w:tc>
          <w:tcPr>
            <w:tcW w:type="dxa" w:w="3312"/>
          </w:tcPr>
          <w:p>
            <w:pPr>
              <w:pStyle w:val="BodyText"/>
              <w:keepNext w:val="0"/>
              <w:spacing w:after="80" w:line="252" w:lineRule="auto"/>
              <w:jc w:val="left"/>
            </w:pPr>
            <w:r>
              <w:rPr>
                <w:rFonts w:ascii="Calibri" w:hAnsi="Calibri"/>
                <w:sz w:val="17"/>
              </w:rPr>
              <w:t xml:space="preserve">Power, possible intention, and reasons</w:t>
            </w:r>
          </w:p>
        </w:tc>
        <w:tc>
          <w:tcPr>
            <w:tcW w:type="dxa" w:w="3312"/>
          </w:tcPr>
          <w:p>
            <w:pPr>
              <w:pStyle w:val="BodyText"/>
              <w:keepNext w:val="0"/>
              <w:spacing w:after="80" w:line="252" w:lineRule="auto"/>
              <w:jc w:val="left"/>
            </w:pPr>
            <w:r>
              <w:rPr>
                <w:rFonts w:ascii="Calibri" w:hAnsi="Calibri"/>
                <w:sz w:val="17"/>
              </w:rPr>
              <w:t xml:space="preserve">Capacity alone establishes no actual choice.</w:t>
            </w:r>
          </w:p>
        </w:tc>
      </w:tr>
      <w:tr>
        <w:tc>
          <w:tcPr>
            <w:tcW w:type="dxa" w:w="3312"/>
          </w:tcPr>
          <w:p>
            <w:pPr>
              <w:pStyle w:val="BodyText"/>
              <w:keepNext w:val="0"/>
              <w:spacing w:after="80" w:line="252" w:lineRule="auto"/>
              <w:jc w:val="left"/>
            </w:pPr>
            <w:r>
              <w:rPr>
                <w:rFonts w:ascii="Calibri" w:hAnsi="Calibri"/>
                <w:sz w:val="17"/>
              </w:rPr>
              <w:t xml:space="preserve">Producing the intended outcome</w:t>
            </w:r>
          </w:p>
        </w:tc>
        <w:tc>
          <w:tcPr>
            <w:tcW w:type="dxa" w:w="3312"/>
          </w:tcPr>
          <w:p>
            <w:pPr>
              <w:pStyle w:val="BodyText"/>
              <w:keepNext w:val="0"/>
              <w:spacing w:after="80" w:line="252" w:lineRule="auto"/>
              <w:jc w:val="left"/>
            </w:pPr>
            <w:r>
              <w:rPr>
                <w:rFonts w:ascii="Calibri" w:hAnsi="Calibri"/>
                <w:sz w:val="17"/>
              </w:rPr>
              <w:t xml:space="preserve">Intention</w:t>
            </w:r>
          </w:p>
        </w:tc>
        <w:tc>
          <w:tcPr>
            <w:tcW w:type="dxa" w:w="3312"/>
          </w:tcPr>
          <w:p>
            <w:pPr>
              <w:pStyle w:val="BodyText"/>
              <w:keepNext w:val="0"/>
              <w:spacing w:after="80" w:line="252" w:lineRule="auto"/>
              <w:jc w:val="left"/>
            </w:pPr>
            <w:r>
              <w:rPr>
                <w:rFonts w:ascii="Calibri" w:hAnsi="Calibri"/>
                <w:sz w:val="17"/>
              </w:rPr>
              <w:t xml:space="preserve">Success and the connection between intention and outcome remain unestablished.</w:t>
            </w:r>
          </w:p>
        </w:tc>
      </w:tr>
      <w:tr>
        <w:tc>
          <w:tcPr>
            <w:tcW w:type="dxa" w:w="3312"/>
          </w:tcPr>
          <w:p>
            <w:pPr>
              <w:pStyle w:val="BodyText"/>
              <w:keepNext w:val="0"/>
              <w:spacing w:after="80" w:line="252" w:lineRule="auto"/>
              <w:jc w:val="left"/>
            </w:pPr>
            <w:r>
              <w:rPr>
                <w:rFonts w:ascii="Calibri" w:hAnsi="Calibri"/>
                <w:sz w:val="17"/>
              </w:rPr>
              <w:t xml:space="preserve">Access and justification</w:t>
            </w:r>
          </w:p>
        </w:tc>
        <w:tc>
          <w:tcPr>
            <w:tcW w:type="dxa" w:w="3312"/>
          </w:tcPr>
          <w:p>
            <w:pPr>
              <w:pStyle w:val="BodyText"/>
              <w:keepNext w:val="0"/>
              <w:spacing w:after="80" w:line="252" w:lineRule="auto"/>
              <w:jc w:val="left"/>
            </w:pPr>
            <w:r>
              <w:rPr>
                <w:rFonts w:ascii="Calibri" w:hAnsi="Calibri"/>
                <w:sz w:val="17"/>
              </w:rPr>
              <w:t xml:space="preserve">A true representation</w:t>
            </w:r>
          </w:p>
        </w:tc>
        <w:tc>
          <w:tcPr>
            <w:tcW w:type="dxa" w:w="3312"/>
          </w:tcPr>
          <w:p>
            <w:pPr>
              <w:pStyle w:val="BodyText"/>
              <w:keepNext w:val="0"/>
              <w:spacing w:after="80" w:line="252" w:lineRule="auto"/>
              <w:jc w:val="left"/>
            </w:pPr>
            <w:r>
              <w:rPr>
                <w:rFonts w:ascii="Calibri" w:hAnsi="Calibri"/>
                <w:sz w:val="17"/>
              </w:rPr>
              <w:t xml:space="preserve">Demonstrated knowledge is lost; another justified route may replace the proposed one.</w:t>
            </w:r>
          </w:p>
        </w:tc>
      </w:tr>
      <w:tr>
        <w:tc>
          <w:tcPr>
            <w:tcW w:type="dxa" w:w="3312"/>
          </w:tcPr>
          <w:p>
            <w:pPr>
              <w:pStyle w:val="BodyText"/>
              <w:keepNext w:val="0"/>
              <w:spacing w:after="80" w:line="252" w:lineRule="auto"/>
              <w:jc w:val="left"/>
            </w:pPr>
            <w:r>
              <w:rPr>
                <w:rFonts w:ascii="Calibri" w:hAnsi="Calibri"/>
                <w:sz w:val="17"/>
              </w:rPr>
              <w:t xml:space="preserve">Intrinsic invariance</w:t>
            </w:r>
          </w:p>
        </w:tc>
        <w:tc>
          <w:tcPr>
            <w:tcW w:type="dxa" w:w="3312"/>
          </w:tcPr>
          <w:p>
            <w:pPr>
              <w:pStyle w:val="BodyText"/>
              <w:keepNext w:val="0"/>
              <w:spacing w:after="80" w:line="252" w:lineRule="auto"/>
              <w:jc w:val="left"/>
            </w:pPr>
            <w:r>
              <w:rPr>
                <w:rFonts w:ascii="Calibri" w:hAnsi="Calibri"/>
                <w:sz w:val="17"/>
              </w:rPr>
              <w:t xml:space="preserve">Underivation and absence of assigned parts</w:t>
            </w:r>
          </w:p>
        </w:tc>
        <w:tc>
          <w:tcPr>
            <w:tcW w:type="dxa" w:w="3312"/>
          </w:tcPr>
          <w:p>
            <w:pPr>
              <w:pStyle w:val="BodyText"/>
              <w:keepNext w:val="0"/>
              <w:spacing w:after="80" w:line="252" w:lineRule="auto"/>
              <w:jc w:val="left"/>
            </w:pPr>
            <w:r>
              <w:rPr>
                <w:rFonts w:ascii="Calibri" w:hAnsi="Calibri"/>
                <w:sz w:val="17"/>
              </w:rPr>
              <w:t xml:space="preserve">Intrinsic differences in intention remain an available rival.</w:t>
            </w:r>
          </w:p>
        </w:tc>
      </w:tr>
    </w:tbl>
    <w:p>
      <w:pPr>
        <w:pStyle w:val="BodyText"/>
      </w:pPr>
      <w:r>
        <w:t xml:space="preserve">These losses concern this explanatory path. They do not establish that every alternative lacks a substitute. The finite examples illustrate distinctions; they are not countermodels to a complete axiomatization of God. The advanced records are sparse candidate interpretations. No absolute theorem of axiom independence is claimed.</w:t>
      </w:r>
    </w:p>
    <w:bookmarkEnd w:id="317"/>
    <w:bookmarkStart w:id="318" w:name="rival-interpretations"/>
    <w:p>
      <w:pPr>
        <w:pStyle w:val="Heading3"/>
      </w:pPr>
      <w:r>
        <w:t xml:space="preserve">Rival interpretations</w:t>
      </w:r>
    </w:p>
    <w:p>
      <w:pPr>
        <w:pStyle w:val="FirstParagraph"/>
      </w:pPr>
      <w:r>
        <w:rPr>
          <w:b/>
          <w:bCs/>
        </w:rPr>
        <w:t xml:space="preserve">Necessary emanation</w:t>
      </w:r>
      <w:r>
        <w:t xml:space="preserve"> </w:t>
      </w:r>
      <w:r>
        <w:t xml:space="preserve">can retain an inexhaustible, underived source without proper parts while making one order necessary. Genuine alternatives and voluntary choice therefore need further arguments beyond non-exhaustion.</w:t>
      </w:r>
    </w:p>
    <w:p>
      <w:pPr>
        <w:pStyle w:val="BodyText"/>
      </w:pPr>
      <w:r>
        <w:rPr>
          <w:b/>
          <w:bCs/>
        </w:rPr>
        <w:t xml:space="preserve">A title explained by the outcome alone</w:t>
      </w:r>
      <w:r>
        <w:t xml:space="preserve"> </w:t>
      </w:r>
      <w:r>
        <w:t xml:space="preserve">makes</w:t>
      </w:r>
      <w:r>
        <w:t xml:space="preserve"> </w:t>
      </w:r>
      <w:r>
        <w:t xml:space="preserve">“</w:t>
      </w:r>
      <w:r>
        <w:t xml:space="preserve">creator of this order</w:t>
      </w:r>
      <w:r>
        <w:t xml:space="preserve">”</w:t>
      </w:r>
      <w:r>
        <w:t xml:space="preserve"> </w:t>
      </w:r>
      <w:r>
        <w:t xml:space="preserve">true through the relation to the created order. It may accurately describe dependence while leaving intentional choice unexplained.</w:t>
      </w:r>
    </w:p>
    <w:p>
      <w:pPr>
        <w:pStyle w:val="BodyText"/>
      </w:pPr>
      <w:r>
        <w:rPr>
          <w:b/>
          <w:bCs/>
        </w:rPr>
        <w:t xml:space="preserve">Intrinsic differences in divine intention</w:t>
      </w:r>
      <w:r>
        <w:t xml:space="preserve"> </w:t>
      </w:r>
      <w:r>
        <w:t xml:space="preserve">allows alternative intentions to differ intrinsically without proper parts or acquired actuality. Excluding parts alone does not rule this out.</w:t>
      </w:r>
    </w:p>
    <w:p>
      <w:pPr>
        <w:pStyle w:val="BodyText"/>
      </w:pPr>
      <w:r>
        <w:rPr>
          <w:b/>
          <w:bCs/>
        </w:rPr>
        <w:t xml:space="preserve">A relational account of free divine action</w:t>
      </w:r>
      <w:r>
        <w:t xml:space="preserve"> </w:t>
      </w:r>
      <w:r>
        <w:t xml:space="preserve">locates the contingent difference in God’s intentional relation to the intended creation while preserving God’s intrinsic being. Its advantage is an account of agency without divine completion. Its burden is explaining what makes the action this particular controlled action and how God knows it, without hiding an intrinsic difference behind relational terminology.</w:t>
      </w:r>
    </w:p>
    <w:bookmarkEnd w:id="318"/>
    <w:bookmarkStart w:id="319" w:name="where-the-claim-stops"/>
    <w:p>
      <w:pPr>
        <w:pStyle w:val="Heading3"/>
      </w:pPr>
      <w:r>
        <w:t xml:space="preserve">Where the claim stops</w:t>
      </w:r>
    </w:p>
    <w:p>
      <w:pPr>
        <w:pStyle w:val="FirstParagraph"/>
      </w:pPr>
      <w:r>
        <w:t xml:space="preserve">Actuality means that something is actual rather than merely possible. Individuation asks what makes it this particular thing or action, distinct from another. These are standard philosophical questions, not synonyms or answers in themselves. Intention, voluntary control, and adequate knowledge remain additional requirements. Changing the vocabulary to</w:t>
      </w:r>
      <w:r>
        <w:t xml:space="preserve"> </w:t>
      </w:r>
      <w:r>
        <w:t xml:space="preserve">“</w:t>
      </w:r>
      <w:r>
        <w:t xml:space="preserve">divine agency</w:t>
      </w:r>
      <w:r>
        <w:t xml:space="preserve">”</w:t>
      </w:r>
      <w:r>
        <w:t xml:space="preserve"> </w:t>
      </w:r>
      <w:r>
        <w:t xml:space="preserve">proves none of them.</w:t>
      </w:r>
    </w:p>
    <w:p>
      <w:pPr>
        <w:pStyle w:val="BodyText"/>
      </w:pPr>
      <w:r>
        <w:t xml:space="preserve">Finite examples justify distinctions; they do not establish divine intrinsic invariance. Trinitarian personal origins, created dependence, and Incarnation require different accounts and theological support. Neither the Trinity nor the Incarnation follows from this inspector.</w:t>
      </w:r>
    </w:p>
    <w:bookmarkEnd w:id="319"/>
    <w:bookmarkEnd w:id="320"/>
    <w:p>
      <w:pPr>
        <w:pStyle w:val="Heading1"/>
      </w:pPr>
      <w:r>
        <w:t xml:space="preserve">Appendix C — real-difference-sources.md</w:t>
      </w:r>
    </w:p>
    <w:p>
      <w:pPr>
        <w:pStyle w:val="FirstParagraph"/>
      </w:pPr>
      <w:r>
        <w:t xml:space="preserve">Original research file: https:/​/​participation-​6o4.​pages.​dev/​research/​real-​difference-​sources.​md</w:t>
      </w:r>
    </w:p>
    <w:bookmarkStart w:id="356" w:name="Xc707db1edeee5dac0d90cb26419e61e4147799b"/>
    <w:p>
      <w:pPr>
        <w:pStyle w:val="Heading2"/>
      </w:pPr>
      <w:r>
        <w:t xml:space="preserve">Divine Agency: Simplicity and Free Creation — source dossier</w:t>
      </w:r>
    </w:p>
    <w:bookmarkStart w:id="321" w:name="Xa6450c4cb08f94a8b1d8863bfb1c274b01b76d8"/>
    <w:p>
      <w:pPr>
        <w:pStyle w:val="Heading3"/>
      </w:pPr>
      <w:r>
        <w:t xml:space="preserve">Further reading and an imaginative companion</w:t>
      </w:r>
    </w:p>
    <w:p>
      <w:pPr>
        <w:pStyle w:val="FirstParagraph"/>
      </w:pPr>
      <w:r>
        <w:t xml:space="preserve">The following reader-suggested resources receive an honorable mention on the page. They are reading leads and a loose metaphor, not entries in the consulted 28-source argument ledger. Bibliographic details below were supplied by the reader; the article and comic were not directly consulted. Publisher access was unavailable during this update, so no independent metadata verification or quotation is claimed.</w:t>
      </w:r>
    </w:p>
    <w:p>
      <w:pPr>
        <w:pStyle w:val="Compact"/>
        <w:numPr>
          <w:ilvl w:val="0"/>
          <w:numId w:val="1056"/>
        </w:numPr>
      </w:pPr>
      <w:r>
        <w:t xml:space="preserve">Kerr, G. (2023).</w:t>
      </w:r>
      <w:r>
        <w:t xml:space="preserve"> </w:t>
      </w:r>
      <w:hyperlink r:id="rId132">
        <w:r>
          <w:rPr>
            <w:rStyle w:val="Hyperlink"/>
          </w:rPr>
          <w:t xml:space="preserve">God and the alone world</w:t>
        </w:r>
      </w:hyperlink>
      <w:r>
        <w:t xml:space="preserve">.</w:t>
      </w:r>
      <w:r>
        <w:t xml:space="preserve"> </w:t>
      </w:r>
      <w:r>
        <w:rPr>
          <w:i/>
          <w:iCs/>
        </w:rPr>
        <w:t xml:space="preserve">Irish Theological Quarterly</w:t>
      </w:r>
      <w:r>
        <w:t xml:space="preserve">, 88(1), 76–89. A further-reading lead alongside the question of divine agency; no specific thesis is attributed or incorporated as a premise.</w:t>
      </w:r>
    </w:p>
    <w:p>
      <w:pPr>
        <w:pStyle w:val="Compact"/>
        <w:numPr>
          <w:ilvl w:val="0"/>
          <w:numId w:val="1056"/>
        </w:numPr>
      </w:pPr>
      <w:r>
        <w:t xml:space="preserve">Ewing, A., Vecchio, L., Curiel, D., Aburtov, J., &amp; Sabino, J. V. C. (2024).</w:t>
      </w:r>
      <w:r>
        <w:t xml:space="preserve"> </w:t>
      </w:r>
      <w:r>
        <w:rPr>
          <w:i/>
          <w:iCs/>
        </w:rPr>
        <w:t xml:space="preserve">Resurrection of Magneto #4</w:t>
      </w:r>
      <w:r>
        <w:t xml:space="preserve">. Marvel Comics. An imaginative companion for picturing directed power and direct agency. No specific panel or scene is described. A finite fictional agent does not establish divine simplicity, free creation, or non-receptive knowledge; direct action is not automatically reflexive action or psychological flow.</w:t>
      </w:r>
    </w:p>
    <w:bookmarkEnd w:id="321"/>
    <w:bookmarkStart w:id="322" w:name="read-the-status-before-the-attribution"/>
    <w:p>
      <w:pPr>
        <w:pStyle w:val="Heading3"/>
      </w:pPr>
      <w:r>
        <w:t xml:space="preserve">Read the status before the attribution</w:t>
      </w:r>
    </w:p>
    <w:p>
      <w:pPr>
        <w:pStyle w:val="FirstParagraph"/>
      </w:pPr>
      <w:r>
        <w:t xml:space="preserve">This page is a constructive synthesis. No historical author is its co-author, and no quotation establishes the whole proposed relational account of free divine action. The source ledger records what was actually consulted, what was inherited from the preceding pages or manuscript register, and what remains a lead. Primary-source words, specialist interpretation, and the project’s new arguments must remain distinct.</w:t>
      </w:r>
    </w:p>
    <w:p>
      <w:pPr>
        <w:pStyle w:val="BodyText"/>
      </w:pPr>
      <w:r>
        <w:rPr>
          <w:b/>
          <w:bCs/>
        </w:rPr>
        <w:t xml:space="preserve">Direct consultation</w:t>
      </w:r>
      <w:r>
        <w:t xml:space="preserve"> </w:t>
      </w:r>
      <w:r>
        <w:t xml:space="preserve">means the identified passages were read for this page.</w:t>
      </w:r>
      <w:r>
        <w:t xml:space="preserve"> </w:t>
      </w:r>
      <w:r>
        <w:rPr>
          <w:b/>
          <w:bCs/>
        </w:rPr>
        <w:t xml:space="preserve">Inherited</w:t>
      </w:r>
      <w:r>
        <w:t xml:space="preserve"> </w:t>
      </w:r>
      <w:r>
        <w:t xml:space="preserve">means prior project or manuscript evidence is reused; it is not a fresh source verification.</w:t>
      </w:r>
      <w:r>
        <w:t xml:space="preserve"> </w:t>
      </w:r>
      <w:r>
        <w:rPr>
          <w:b/>
          <w:bCs/>
        </w:rPr>
        <w:t xml:space="preserve">Provisional</w:t>
      </w:r>
      <w:r>
        <w:t xml:space="preserve"> </w:t>
      </w:r>
      <w:r>
        <w:t xml:space="preserve">marks a primary transcription with limited provenance.</w:t>
      </w:r>
      <w:r>
        <w:t xml:space="preserve"> </w:t>
      </w:r>
      <w:r>
        <w:rPr>
          <w:b/>
          <w:bCs/>
        </w:rPr>
        <w:t xml:space="preserve">Secondary</w:t>
      </w:r>
      <w:r>
        <w:t xml:space="preserve"> </w:t>
      </w:r>
      <w:r>
        <w:t xml:space="preserve">means the specialist article was read, not every primary locus it cites.</w:t>
      </w:r>
      <w:r>
        <w:t xml:space="preserve"> </w:t>
      </w:r>
      <w:r>
        <w:rPr>
          <w:b/>
          <w:bCs/>
        </w:rPr>
        <w:t xml:space="preserve">Lead</w:t>
      </w:r>
      <w:r>
        <w:t xml:space="preserve"> </w:t>
      </w:r>
      <w:r>
        <w:t xml:space="preserve">means the primary text was not directly inspected and contributes no independently verified quotation.</w:t>
      </w:r>
    </w:p>
    <w:p>
      <w:pPr>
        <w:pStyle w:val="BodyText"/>
      </w:pPr>
      <w:r>
        <w:t xml:space="preserve">The principal limits are visible rather than hidden in the bibliography:</w:t>
      </w:r>
    </w:p>
    <w:p>
      <w:pPr>
        <w:pStyle w:val="Compact"/>
        <w:numPr>
          <w:ilvl w:val="0"/>
          <w:numId w:val="1057"/>
        </w:numPr>
      </w:pPr>
      <w:r>
        <w:t xml:space="preserve">Dionysius and Nazianzen were read in named historical English translations; no fresh Greek critical collation is claimed.</w:t>
      </w:r>
    </w:p>
    <w:p>
      <w:pPr>
        <w:pStyle w:val="Compact"/>
        <w:numPr>
          <w:ilvl w:val="0"/>
          <w:numId w:val="1057"/>
        </w:numPr>
      </w:pPr>
      <w:r>
        <w:t xml:space="preserve">Maximus remains a provisional Greek witness requiring control against a reliable modern edition.</w:t>
      </w:r>
    </w:p>
    <w:p>
      <w:pPr>
        <w:pStyle w:val="Compact"/>
        <w:numPr>
          <w:ilvl w:val="0"/>
          <w:numId w:val="1057"/>
        </w:numPr>
      </w:pPr>
      <w:r>
        <w:t xml:space="preserve">Bonaventure and Eriugena primary passages are inherited manuscript evidence. Their SEP entries were freshly inspected in selected portions, but those orientation URLs are not primary witnesses.</w:t>
      </w:r>
    </w:p>
    <w:p>
      <w:pPr>
        <w:pStyle w:val="Compact"/>
        <w:numPr>
          <w:ilvl w:val="0"/>
          <w:numId w:val="1057"/>
        </w:numPr>
      </w:pPr>
      <w:r>
        <w:t xml:space="preserve">Benedict XVI’s encyclicals were read through unofficial transcripts of official English texts. Official endpoints were inaccessible; textual fidelity was not line-collated. The</w:t>
      </w:r>
      <w:r>
        <w:t xml:space="preserve"> </w:t>
      </w:r>
      <w:r>
        <w:rPr>
          <w:i/>
          <w:iCs/>
        </w:rPr>
        <w:t xml:space="preserve">Communio</w:t>
      </w:r>
      <w:r>
        <w:t xml:space="preserve"> </w:t>
      </w:r>
      <w:r>
        <w:t xml:space="preserve">person essay remains unconsulted.</w:t>
      </w:r>
    </w:p>
    <w:p>
      <w:pPr>
        <w:pStyle w:val="Compact"/>
        <w:numPr>
          <w:ilvl w:val="0"/>
          <w:numId w:val="1057"/>
        </w:numPr>
      </w:pPr>
      <w:r>
        <w:t xml:space="preserve">Aquinas, Augustine, and Newman entries below reuse earlier-page or manuscript evidence. Augustine’s question 46 remains an inherited unconsulted lead.</w:t>
      </w:r>
    </w:p>
    <w:p>
      <w:pPr>
        <w:pStyle w:val="FirstParagraph"/>
      </w:pPr>
      <w:r>
        <w:t xml:space="preserve">Quotes in the machine-readable ledger retain their translator or transcript provenance. Working translations must not be advertised as newly verified critical translations. The metadata is available in</w:t>
      </w:r>
      <w:r>
        <w:t xml:space="preserve"> </w:t>
      </w:r>
      <w:hyperlink r:id="rId131">
        <w:r>
          <w:rPr>
            <w:rStyle w:val="Hyperlink"/>
          </w:rPr>
          <w:t xml:space="preserve">real-difference-ledger.json</w:t>
        </w:r>
      </w:hyperlink>
      <w:r>
        <w:t xml:space="preserve">.</w:t>
      </w:r>
    </w:p>
    <w:bookmarkEnd w:id="322"/>
    <w:bookmarkStart w:id="331" w:name="patristic-resources"/>
    <w:p>
      <w:pPr>
        <w:pStyle w:val="Heading3"/>
      </w:pPr>
      <w:r>
        <w:t xml:space="preserve">Patristic resources</w:t>
      </w:r>
    </w:p>
    <w:bookmarkStart w:id="323" w:name="X9ee0196ef1bdfe5091a3b233838048137f78d5c"/>
    <w:p>
      <w:pPr>
        <w:pStyle w:val="Heading4"/>
      </w:pPr>
      <w:r>
        <w:t xml:space="preserve">GN-R · Gregory Nazianzen,</w:t>
      </w:r>
      <w:r>
        <w:t xml:space="preserve"> </w:t>
      </w:r>
      <w:r>
        <w:rPr>
          <w:i/>
          <w:iCs/>
        </w:rPr>
        <w:t xml:space="preserve">Oration 29 (Third Theological Oration)</w:t>
      </w:r>
    </w:p>
    <w:p>
      <w:pPr>
        <w:pStyle w:val="FirstParagraph"/>
      </w:pPr>
      <w:r>
        <w:rPr>
          <w:b/>
          <w:bCs/>
        </w:rPr>
        <w:t xml:space="preserve">Locus:</w:t>
      </w:r>
      <w:r>
        <w:t xml:space="preserve"> </w:t>
      </w:r>
      <w:r>
        <w:t xml:space="preserve">§16; NPNF second series VII, pp. 306–307.</w:t>
      </w:r>
      <w:r>
        <w:t xml:space="preserve"> </w:t>
      </w:r>
      <w:r>
        <w:rPr>
          <w:b/>
          <w:bCs/>
        </w:rPr>
        <w:t xml:space="preserve">Status:</w:t>
      </w:r>
      <w:r>
        <w:t xml:space="preserve"> </w:t>
      </w:r>
      <w:r>
        <w:t xml:space="preserve">Primary translation directly consulted this page</w:t>
      </w:r>
    </w:p>
    <w:p>
      <w:pPr>
        <w:pStyle w:val="BodyText"/>
      </w:pPr>
      <w:r>
        <w:rPr>
          <w:b/>
          <w:bCs/>
        </w:rPr>
        <w:t xml:space="preserve">Edition / witness:</w:t>
      </w:r>
      <w:r>
        <w:t xml:space="preserve"> </w:t>
      </w:r>
      <w:r>
        <w:t xml:space="preserve">Charles Gordon Browne and James Edward Swallow, NPNF second series VII; CCEL transcription; no fresh Greek critical collation</w:t>
      </w:r>
    </w:p>
    <w:p>
      <w:pPr>
        <w:pStyle w:val="BodyText"/>
      </w:pPr>
      <w:r>
        <w:rPr>
          <w:b/>
          <w:bCs/>
        </w:rPr>
        <w:t xml:space="preserve">Use:</w:t>
      </w:r>
      <w:r>
        <w:t xml:space="preserve"> </w:t>
      </w:r>
      <w:r>
        <w:t xml:space="preserve">A category distinction: genuine personal difference need not imply different divine nature or created product</w:t>
      </w:r>
      <w:r>
        <w:t xml:space="preserve"> </w:t>
      </w:r>
      <w:r>
        <w:rPr>
          <w:b/>
          <w:bCs/>
        </w:rPr>
        <w:t xml:space="preserve">Limit:</w:t>
      </w:r>
      <w:r>
        <w:t xml:space="preserve"> </w:t>
      </w:r>
      <w:r>
        <w:t xml:space="preserve">Eternal personal origin does not establish a relational account of free divine action. The Son is begotten, not created; personal origin must not be equated with created dependence.</w:t>
      </w:r>
    </w:p>
    <w:p>
      <w:pPr>
        <w:pStyle w:val="BodyText"/>
      </w:pPr>
      <w:hyperlink r:id="rId41">
        <w:r>
          <w:rPr>
            <w:rStyle w:val="Hyperlink"/>
          </w:rPr>
          <w:t xml:space="preserve">Reading / orientation address</w:t>
        </w:r>
      </w:hyperlink>
      <w:r>
        <w:t xml:space="preserve">.</w:t>
      </w:r>
    </w:p>
    <w:bookmarkEnd w:id="323"/>
    <w:bookmarkStart w:id="324" w:name="gn-a-gregory-nazianzen-oration-29"/>
    <w:p>
      <w:pPr>
        <w:pStyle w:val="Heading4"/>
      </w:pPr>
      <w:r>
        <w:t xml:space="preserve">GN-A · Gregory Nazianzen,</w:t>
      </w:r>
      <w:r>
        <w:t xml:space="preserve"> </w:t>
      </w:r>
      <w:r>
        <w:rPr>
          <w:i/>
          <w:iCs/>
        </w:rPr>
        <w:t xml:space="preserve">Oration 29</w:t>
      </w:r>
    </w:p>
    <w:p>
      <w:pPr>
        <w:pStyle w:val="FirstParagraph"/>
      </w:pPr>
      <w:r>
        <w:rPr>
          <w:b/>
          <w:bCs/>
        </w:rPr>
        <w:t xml:space="preserve">Locus:</w:t>
      </w:r>
      <w:r>
        <w:t xml:space="preserve"> </w:t>
      </w:r>
      <w:r>
        <w:t xml:space="preserve">§§6–8.</w:t>
      </w:r>
      <w:r>
        <w:t xml:space="preserve"> </w:t>
      </w:r>
      <w:r>
        <w:rPr>
          <w:b/>
          <w:bCs/>
        </w:rPr>
        <w:t xml:space="preserve">Status:</w:t>
      </w:r>
      <w:r>
        <w:t xml:space="preserve"> </w:t>
      </w:r>
      <w:r>
        <w:t xml:space="preserve">Primary translation directly consulted this page</w:t>
      </w:r>
    </w:p>
    <w:p>
      <w:pPr>
        <w:pStyle w:val="BodyText"/>
      </w:pPr>
      <w:r>
        <w:rPr>
          <w:b/>
          <w:bCs/>
        </w:rPr>
        <w:t xml:space="preserve">Edition / witness:</w:t>
      </w:r>
      <w:r>
        <w:t xml:space="preserve"> </w:t>
      </w:r>
      <w:r>
        <w:t xml:space="preserve">Browne/Swallow, NPNF second series VII; CCEL</w:t>
      </w:r>
    </w:p>
    <w:p>
      <w:pPr>
        <w:pStyle w:val="BodyText"/>
      </w:pPr>
      <w:r>
        <w:rPr>
          <w:b/>
          <w:bCs/>
        </w:rPr>
        <w:t xml:space="preserve">Use:</w:t>
      </w:r>
      <w:r>
        <w:t xml:space="preserve"> </w:t>
      </w:r>
      <w:r>
        <w:t xml:space="preserve">A warning against treating willing as an object between God and the act, or confusing generation with creation</w:t>
      </w:r>
      <w:r>
        <w:t xml:space="preserve"> </w:t>
      </w:r>
      <w:r>
        <w:rPr>
          <w:b/>
          <w:bCs/>
        </w:rPr>
        <w:t xml:space="preserve">Limit:</w:t>
      </w:r>
      <w:r>
        <w:t xml:space="preserve"> </w:t>
      </w:r>
      <w:r>
        <w:t xml:space="preserve">The argument against Eunomius concerns generation, rather than a complete modern account of free creation. Editorial notes are not Gregory’s words.</w:t>
      </w:r>
    </w:p>
    <w:p>
      <w:pPr>
        <w:pStyle w:val="BodyText"/>
      </w:pPr>
      <w:hyperlink r:id="rId41">
        <w:r>
          <w:rPr>
            <w:rStyle w:val="Hyperlink"/>
          </w:rPr>
          <w:t xml:space="preserve">Reading / orientation address</w:t>
        </w:r>
      </w:hyperlink>
      <w:r>
        <w:t xml:space="preserve">.</w:t>
      </w:r>
    </w:p>
    <w:bookmarkEnd w:id="324"/>
    <w:bookmarkStart w:id="325" w:name="dn-r-pseudo-dionysius-divine-names"/>
    <w:p>
      <w:pPr>
        <w:pStyle w:val="Heading4"/>
      </w:pPr>
      <w:r>
        <w:t xml:space="preserve">DN-R · Pseudo-Dionysius,</w:t>
      </w:r>
      <w:r>
        <w:t xml:space="preserve"> </w:t>
      </w:r>
      <w:r>
        <w:rPr>
          <w:i/>
          <w:iCs/>
        </w:rPr>
        <w:t xml:space="preserve">Divine Names</w:t>
      </w:r>
    </w:p>
    <w:p>
      <w:pPr>
        <w:pStyle w:val="FirstParagraph"/>
      </w:pPr>
      <w:r>
        <w:rPr>
          <w:b/>
          <w:bCs/>
        </w:rPr>
        <w:t xml:space="preserve">Locus:</w:t>
      </w:r>
      <w:r>
        <w:t xml:space="preserve"> </w:t>
      </w:r>
      <w:r>
        <w:t xml:space="preserve">II.5; Rolt pp. 71–73.</w:t>
      </w:r>
      <w:r>
        <w:t xml:space="preserve"> </w:t>
      </w:r>
      <w:r>
        <w:rPr>
          <w:b/>
          <w:bCs/>
        </w:rPr>
        <w:t xml:space="preserve">Status:</w:t>
      </w:r>
      <w:r>
        <w:t xml:space="preserve"> </w:t>
      </w:r>
      <w:r>
        <w:t xml:space="preserve">Primary translation directly consulted this page</w:t>
      </w:r>
    </w:p>
    <w:p>
      <w:pPr>
        <w:pStyle w:val="BodyText"/>
      </w:pPr>
      <w:r>
        <w:rPr>
          <w:b/>
          <w:bCs/>
        </w:rPr>
        <w:t xml:space="preserve">Edition / witness:</w:t>
      </w:r>
      <w:r>
        <w:t xml:space="preserve"> </w:t>
      </w:r>
      <w:r>
        <w:t xml:space="preserve">C. E. Rolt (1920), CCEL; older reliable historical translation, not newly collated against Luibheid/Rorem</w:t>
      </w:r>
    </w:p>
    <w:p>
      <w:pPr>
        <w:pStyle w:val="BodyText"/>
      </w:pPr>
      <w:r>
        <w:rPr>
          <w:b/>
          <w:bCs/>
        </w:rPr>
        <w:t xml:space="preserve">Use:</w:t>
      </w:r>
      <w:r>
        <w:t xml:space="preserve"> </w:t>
      </w:r>
      <w:r>
        <w:t xml:space="preserve">Recipient variation does not entail corresponding partition or alteration of source</w:t>
      </w:r>
      <w:r>
        <w:t xml:space="preserve"> </w:t>
      </w:r>
      <w:r>
        <w:rPr>
          <w:b/>
          <w:bCs/>
        </w:rPr>
        <w:t xml:space="preserve">Limit:</w:t>
      </w:r>
      <w:r>
        <w:t xml:space="preserve"> </w:t>
      </w:r>
      <w:r>
        <w:t xml:space="preserve">A seal has intrinsic pattern; receptor analogy is not a simplicity proof or explanation of free choice; God exceeds the analogy</w:t>
      </w:r>
    </w:p>
    <w:p>
      <w:pPr>
        <w:pStyle w:val="BodyText"/>
      </w:pPr>
      <w:hyperlink r:id="rId84">
        <w:r>
          <w:rPr>
            <w:rStyle w:val="Hyperlink"/>
          </w:rPr>
          <w:t xml:space="preserve">Reading / orientation address</w:t>
        </w:r>
      </w:hyperlink>
      <w:r>
        <w:t xml:space="preserve">.</w:t>
      </w:r>
    </w:p>
    <w:bookmarkEnd w:id="325"/>
    <w:bookmarkStart w:id="326" w:name="dn-e-pseudo-dionysius-divine-names"/>
    <w:p>
      <w:pPr>
        <w:pStyle w:val="Heading4"/>
      </w:pPr>
      <w:r>
        <w:t xml:space="preserve">DN-E · Pseudo-Dionysius,</w:t>
      </w:r>
      <w:r>
        <w:t xml:space="preserve"> </w:t>
      </w:r>
      <w:r>
        <w:rPr>
          <w:i/>
          <w:iCs/>
        </w:rPr>
        <w:t xml:space="preserve">Divine Names</w:t>
      </w:r>
    </w:p>
    <w:p>
      <w:pPr>
        <w:pStyle w:val="FirstParagraph"/>
      </w:pPr>
      <w:r>
        <w:rPr>
          <w:b/>
          <w:bCs/>
        </w:rPr>
        <w:t xml:space="preserve">Locus:</w:t>
      </w:r>
      <w:r>
        <w:t xml:space="preserve"> </w:t>
      </w:r>
      <w:r>
        <w:t xml:space="preserve">V.8; Rolt pp. 139–141.</w:t>
      </w:r>
      <w:r>
        <w:t xml:space="preserve"> </w:t>
      </w:r>
      <w:r>
        <w:rPr>
          <w:b/>
          <w:bCs/>
        </w:rPr>
        <w:t xml:space="preserve">Status:</w:t>
      </w:r>
      <w:r>
        <w:t xml:space="preserve"> </w:t>
      </w:r>
      <w:r>
        <w:t xml:space="preserve">Primary translation directly consulted this page</w:t>
      </w:r>
    </w:p>
    <w:p>
      <w:pPr>
        <w:pStyle w:val="BodyText"/>
      </w:pPr>
      <w:r>
        <w:rPr>
          <w:b/>
          <w:bCs/>
        </w:rPr>
        <w:t xml:space="preserve">Edition / witness:</w:t>
      </w:r>
      <w:r>
        <w:t xml:space="preserve"> </w:t>
      </w:r>
      <w:r>
        <w:t xml:space="preserve">C. E. Rolt (1920), CCEL; editorial commentary separated</w:t>
      </w:r>
    </w:p>
    <w:p>
      <w:pPr>
        <w:pStyle w:val="BodyText"/>
      </w:pPr>
      <w:r>
        <w:rPr>
          <w:b/>
          <w:bCs/>
        </w:rPr>
        <w:t xml:space="preserve">Use:</w:t>
      </w:r>
      <w:r>
        <w:t xml:space="preserve"> </w:t>
      </w:r>
      <w:r>
        <w:t xml:space="preserve">Positive intelligible differentiation in relation to one source</w:t>
      </w:r>
      <w:r>
        <w:t xml:space="preserve"> </w:t>
      </w:r>
      <w:r>
        <w:rPr>
          <w:b/>
          <w:bCs/>
        </w:rPr>
        <w:t xml:space="preserve">Limit:</w:t>
      </w:r>
      <w:r>
        <w:t xml:space="preserve"> </w:t>
      </w:r>
      <w:r>
        <w:t xml:space="preserve">Plural exemplars or divine wills do not by themselves prove alternative created outcomes, or establish that divine intentions differ only relationally</w:t>
      </w:r>
    </w:p>
    <w:p>
      <w:pPr>
        <w:pStyle w:val="BodyText"/>
      </w:pPr>
      <w:hyperlink r:id="rId86">
        <w:r>
          <w:rPr>
            <w:rStyle w:val="Hyperlink"/>
          </w:rPr>
          <w:t xml:space="preserve">Reading / orientation address</w:t>
        </w:r>
      </w:hyperlink>
      <w:r>
        <w:t xml:space="preserve">.</w:t>
      </w:r>
    </w:p>
    <w:bookmarkEnd w:id="326"/>
    <w:bookmarkStart w:id="327" w:name="dn-k-pseudo-dionysius-divine-names"/>
    <w:p>
      <w:pPr>
        <w:pStyle w:val="Heading4"/>
      </w:pPr>
      <w:r>
        <w:t xml:space="preserve">DN-K · Pseudo-Dionysius,</w:t>
      </w:r>
      <w:r>
        <w:t xml:space="preserve"> </w:t>
      </w:r>
      <w:r>
        <w:rPr>
          <w:i/>
          <w:iCs/>
        </w:rPr>
        <w:t xml:space="preserve">Divine Names</w:t>
      </w:r>
    </w:p>
    <w:p>
      <w:pPr>
        <w:pStyle w:val="FirstParagraph"/>
      </w:pPr>
      <w:r>
        <w:rPr>
          <w:b/>
          <w:bCs/>
        </w:rPr>
        <w:t xml:space="preserve">Locus:</w:t>
      </w:r>
      <w:r>
        <w:t xml:space="preserve"> </w:t>
      </w:r>
      <w:r>
        <w:t xml:space="preserve">VII.2–3; Rolt pp. 149–153.</w:t>
      </w:r>
      <w:r>
        <w:t xml:space="preserve"> </w:t>
      </w:r>
      <w:r>
        <w:rPr>
          <w:b/>
          <w:bCs/>
        </w:rPr>
        <w:t xml:space="preserve">Status:</w:t>
      </w:r>
      <w:r>
        <w:t xml:space="preserve"> </w:t>
      </w:r>
      <w:r>
        <w:t xml:space="preserve">Primary translation directly consulted this page</w:t>
      </w:r>
    </w:p>
    <w:p>
      <w:pPr>
        <w:pStyle w:val="BodyText"/>
      </w:pPr>
      <w:r>
        <w:rPr>
          <w:b/>
          <w:bCs/>
        </w:rPr>
        <w:t xml:space="preserve">Edition / witness:</w:t>
      </w:r>
      <w:r>
        <w:t xml:space="preserve"> </w:t>
      </w:r>
      <w:r>
        <w:t xml:space="preserve">C. E. Rolt (1920), CCEL; editorial commentary separated</w:t>
      </w:r>
    </w:p>
    <w:p>
      <w:pPr>
        <w:pStyle w:val="BodyText"/>
      </w:pPr>
      <w:r>
        <w:rPr>
          <w:b/>
          <w:bCs/>
        </w:rPr>
        <w:t xml:space="preserve">Use:</w:t>
      </w:r>
      <w:r>
        <w:t xml:space="preserve"> </w:t>
      </w:r>
      <w:r>
        <w:t xml:space="preserve">Different effects, God’s knowledge, and a recipient’s acquired knowledge require distinct accounts</w:t>
      </w:r>
      <w:r>
        <w:t xml:space="preserve"> </w:t>
      </w:r>
      <w:r>
        <w:rPr>
          <w:b/>
          <w:bCs/>
        </w:rPr>
        <w:t xml:space="preserve">Limit:</w:t>
      </w:r>
      <w:r>
        <w:t xml:space="preserve"> </w:t>
      </w:r>
      <w:r>
        <w:t xml:space="preserve">Does not independently explain choice between possible creations, or knowledge of permitted creaturely decisions. Rolt’s editorial comments about being beyond personality are not adopted.</w:t>
      </w:r>
    </w:p>
    <w:p>
      <w:pPr>
        <w:pStyle w:val="BodyText"/>
      </w:pPr>
      <w:hyperlink r:id="rId33">
        <w:r>
          <w:rPr>
            <w:rStyle w:val="Hyperlink"/>
          </w:rPr>
          <w:t xml:space="preserve">Reading / orientation address</w:t>
        </w:r>
      </w:hyperlink>
      <w:r>
        <w:t xml:space="preserve">.</w:t>
      </w:r>
    </w:p>
    <w:bookmarkEnd w:id="327"/>
    <w:bookmarkStart w:id="328" w:name="dn-l-pseudo-dionysius-divine-names"/>
    <w:p>
      <w:pPr>
        <w:pStyle w:val="Heading4"/>
      </w:pPr>
      <w:r>
        <w:t xml:space="preserve">DN-L · Pseudo-Dionysius,</w:t>
      </w:r>
      <w:r>
        <w:t xml:space="preserve"> </w:t>
      </w:r>
      <w:r>
        <w:rPr>
          <w:i/>
          <w:iCs/>
        </w:rPr>
        <w:t xml:space="preserve">Divine Names</w:t>
      </w:r>
    </w:p>
    <w:p>
      <w:pPr>
        <w:pStyle w:val="FirstParagraph"/>
      </w:pPr>
      <w:r>
        <w:rPr>
          <w:b/>
          <w:bCs/>
        </w:rPr>
        <w:t xml:space="preserve">Locus:</w:t>
      </w:r>
      <w:r>
        <w:t xml:space="preserve"> </w:t>
      </w:r>
      <w:r>
        <w:t xml:space="preserve">IX.6–7; Rolt pp. 166–167.</w:t>
      </w:r>
      <w:r>
        <w:t xml:space="preserve"> </w:t>
      </w:r>
      <w:r>
        <w:rPr>
          <w:b/>
          <w:bCs/>
        </w:rPr>
        <w:t xml:space="preserve">Status:</w:t>
      </w:r>
      <w:r>
        <w:t xml:space="preserve"> </w:t>
      </w:r>
      <w:r>
        <w:t xml:space="preserve">Primary translation directly consulted this page</w:t>
      </w:r>
    </w:p>
    <w:p>
      <w:pPr>
        <w:pStyle w:val="BodyText"/>
      </w:pPr>
      <w:r>
        <w:rPr>
          <w:b/>
          <w:bCs/>
        </w:rPr>
        <w:t xml:space="preserve">Edition / witness:</w:t>
      </w:r>
      <w:r>
        <w:t xml:space="preserve"> </w:t>
      </w:r>
      <w:r>
        <w:t xml:space="preserve">C. E. Rolt (1920), CCEL</w:t>
      </w:r>
    </w:p>
    <w:p>
      <w:pPr>
        <w:pStyle w:val="BodyText"/>
      </w:pPr>
      <w:r>
        <w:rPr>
          <w:b/>
          <w:bCs/>
        </w:rPr>
        <w:t xml:space="preserve">Use:</w:t>
      </w:r>
      <w:r>
        <w:t xml:space="preserve"> </w:t>
      </w:r>
      <w:r>
        <w:t xml:space="preserve">Meaningful likeness does not require a shared nature</w:t>
      </w:r>
      <w:r>
        <w:t xml:space="preserve"> </w:t>
      </w:r>
      <w:r>
        <w:rPr>
          <w:b/>
          <w:bCs/>
        </w:rPr>
        <w:t xml:space="preserve">Limit:</w:t>
      </w:r>
      <w:r>
        <w:t xml:space="preserve"> </w:t>
      </w:r>
      <w:r>
        <w:t xml:space="preserve">Does not prove that every effect resembles its cause in every respect</w:t>
      </w:r>
    </w:p>
    <w:p>
      <w:pPr>
        <w:pStyle w:val="BodyText"/>
      </w:pPr>
      <w:hyperlink r:id="rId89">
        <w:r>
          <w:rPr>
            <w:rStyle w:val="Hyperlink"/>
          </w:rPr>
          <w:t xml:space="preserve">Reading / orientation address</w:t>
        </w:r>
      </w:hyperlink>
      <w:r>
        <w:t xml:space="preserve">.</w:t>
      </w:r>
    </w:p>
    <w:bookmarkEnd w:id="328"/>
    <w:bookmarkStart w:id="329" w:name="X4db5980d4011f8a4fb03fbff23248d807cac76c"/>
    <w:p>
      <w:pPr>
        <w:pStyle w:val="Heading4"/>
      </w:pPr>
      <w:r>
        <w:t xml:space="preserve">NY-M · Gregory of Nyssa,</w:t>
      </w:r>
      <w:r>
        <w:t xml:space="preserve"> </w:t>
      </w:r>
      <w:r>
        <w:rPr>
          <w:i/>
          <w:iCs/>
        </w:rPr>
        <w:t xml:space="preserve">On the Making of Man</w:t>
      </w:r>
    </w:p>
    <w:p>
      <w:pPr>
        <w:pStyle w:val="FirstParagraph"/>
      </w:pPr>
      <w:r>
        <w:rPr>
          <w:b/>
          <w:bCs/>
        </w:rPr>
        <w:t xml:space="preserve">Locus:</w:t>
      </w:r>
      <w:r>
        <w:t xml:space="preserve"> </w:t>
      </w:r>
      <w:r>
        <w:t xml:space="preserve">XVI.</w:t>
      </w:r>
      <w:r>
        <w:t xml:space="preserve"> </w:t>
      </w:r>
      <w:r>
        <w:rPr>
          <w:b/>
          <w:bCs/>
        </w:rPr>
        <w:t xml:space="preserve">Status:</w:t>
      </w:r>
      <w:r>
        <w:t xml:space="preserve"> </w:t>
      </w:r>
      <w:r>
        <w:t xml:space="preserve">Primary translation reconsulted from original project</w:t>
      </w:r>
    </w:p>
    <w:p>
      <w:pPr>
        <w:pStyle w:val="BodyText"/>
      </w:pPr>
      <w:r>
        <w:rPr>
          <w:b/>
          <w:bCs/>
        </w:rPr>
        <w:t xml:space="preserve">Edition / witness:</w:t>
      </w:r>
      <w:r>
        <w:t xml:space="preserve"> </w:t>
      </w:r>
      <w:r>
        <w:t xml:space="preserve">William Moore and Henry Austin Wilson, NPNF second series V; Standard Ebooks transcription with scan-check provenance</w:t>
      </w:r>
    </w:p>
    <w:p>
      <w:pPr>
        <w:pStyle w:val="BodyText"/>
      </w:pPr>
      <w:r>
        <w:rPr>
          <w:b/>
          <w:bCs/>
        </w:rPr>
        <w:t xml:space="preserve">Use:</w:t>
      </w:r>
      <w:r>
        <w:t xml:space="preserve"> </w:t>
      </w:r>
      <w:r>
        <w:t xml:space="preserve">Created limitations need not limit the source; receiving rational agency is compatible with voluntary action</w:t>
      </w:r>
      <w:r>
        <w:t xml:space="preserve"> </w:t>
      </w:r>
      <w:r>
        <w:rPr>
          <w:b/>
          <w:bCs/>
        </w:rPr>
        <w:t xml:space="preserve">Limit:</w:t>
      </w:r>
      <w:r>
        <w:t xml:space="preserve"> </w:t>
      </w:r>
      <w:r>
        <w:t xml:space="preserve">Speculative anthropology is not a universally established metaphysical principle. The Life of Moses passages on infinity were not newly read.</w:t>
      </w:r>
    </w:p>
    <w:p>
      <w:pPr>
        <w:pStyle w:val="BodyText"/>
      </w:pPr>
      <w:hyperlink r:id="rId39">
        <w:r>
          <w:rPr>
            <w:rStyle w:val="Hyperlink"/>
          </w:rPr>
          <w:t xml:space="preserve">Reading / orientation address</w:t>
        </w:r>
      </w:hyperlink>
      <w:r>
        <w:t xml:space="preserve">.</w:t>
      </w:r>
    </w:p>
    <w:bookmarkEnd w:id="329"/>
    <w:bookmarkStart w:id="330" w:name="mx-d-maximus-the-confessor-ambiguum-7"/>
    <w:p>
      <w:pPr>
        <w:pStyle w:val="Heading4"/>
      </w:pPr>
      <w:r>
        <w:t xml:space="preserve">MX-D · Maximus the Confessor,</w:t>
      </w:r>
      <w:r>
        <w:t xml:space="preserve"> </w:t>
      </w:r>
      <w:r>
        <w:rPr>
          <w:i/>
          <w:iCs/>
        </w:rPr>
        <w:t xml:space="preserve">Ambiguum 7</w:t>
      </w:r>
    </w:p>
    <w:p>
      <w:pPr>
        <w:pStyle w:val="FirstParagraph"/>
      </w:pPr>
      <w:r>
        <w:rPr>
          <w:b/>
          <w:bCs/>
        </w:rPr>
        <w:t xml:space="preserve">Locus:</w:t>
      </w:r>
      <w:r>
        <w:t xml:space="preserve"> </w:t>
      </w:r>
      <w:r>
        <w:t xml:space="preserve">PG 91, 1077–1081, transcription ΠΡ 2.11–2.16; knowledge passage ΠΡ 2.20 within columns 1085–1088.</w:t>
      </w:r>
      <w:r>
        <w:t xml:space="preserve"> </w:t>
      </w:r>
      <w:r>
        <w:rPr>
          <w:b/>
          <w:bCs/>
        </w:rPr>
        <w:t xml:space="preserve">Status:</w:t>
      </w:r>
      <w:r>
        <w:t xml:space="preserve"> </w:t>
      </w:r>
      <w:r>
        <w:t xml:space="preserve">Provisional Greek primary witness reconsulted; modern reliable edition collation outstanding</w:t>
      </w:r>
    </w:p>
    <w:p>
      <w:pPr>
        <w:pStyle w:val="BodyText"/>
      </w:pPr>
      <w:r>
        <w:rPr>
          <w:b/>
          <w:bCs/>
        </w:rPr>
        <w:t xml:space="preserve">Edition / witness:</w:t>
      </w:r>
      <w:r>
        <w:t xml:space="preserve"> </w:t>
      </w:r>
      <w:r>
        <w:t xml:space="preserve">Undocumented Greek transcription; consult Nicholas Constas, Ambigua (2014) for critical control</w:t>
      </w:r>
    </w:p>
    <w:p>
      <w:pPr>
        <w:pStyle w:val="BodyText"/>
      </w:pPr>
      <w:r>
        <w:rPr>
          <w:b/>
          <w:bCs/>
        </w:rPr>
        <w:t xml:space="preserve">Use:</w:t>
      </w:r>
      <w:r>
        <w:t xml:space="preserve"> </w:t>
      </w:r>
      <w:r>
        <w:t xml:space="preserve">Intelligibility and realized history are distinct; temporal realization need not imply acquired divine knowledge</w:t>
      </w:r>
      <w:r>
        <w:t xml:space="preserve"> </w:t>
      </w:r>
      <w:r>
        <w:rPr>
          <w:b/>
          <w:bCs/>
        </w:rPr>
        <w:t xml:space="preserve">Limit:</w:t>
      </w:r>
      <w:r>
        <w:t xml:space="preserve"> </w:t>
      </w:r>
      <w:r>
        <w:t xml:space="preserve">No English quotation is attributed to Constas. The text does not establish that divine intentions differ only relationally, prove alternative creations, or eliminate historical disagreements.</w:t>
      </w:r>
    </w:p>
    <w:p>
      <w:pPr>
        <w:pStyle w:val="BodyText"/>
      </w:pPr>
      <w:hyperlink r:id="rId37">
        <w:r>
          <w:rPr>
            <w:rStyle w:val="Hyperlink"/>
          </w:rPr>
          <w:t xml:space="preserve">Reading / orientation address</w:t>
        </w:r>
      </w:hyperlink>
      <w:r>
        <w:t xml:space="preserve">.</w:t>
      </w:r>
    </w:p>
    <w:bookmarkEnd w:id="330"/>
    <w:bookmarkEnd w:id="331"/>
    <w:bookmarkStart w:id="341" w:name="bonaventure-and-eriugena"/>
    <w:p>
      <w:pPr>
        <w:pStyle w:val="Heading3"/>
      </w:pPr>
      <w:r>
        <w:t xml:space="preserve">Bonaventure and Eriugena</w:t>
      </w:r>
    </w:p>
    <w:bookmarkStart w:id="332" w:name="X6548e410147629d72e3d7d84d55b7bdfe755e8f"/>
    <w:p>
      <w:pPr>
        <w:pStyle w:val="Heading4"/>
      </w:pPr>
      <w:r>
        <w:t xml:space="preserve">RD-BON-FIRST · Bonaventure,</w:t>
      </w:r>
      <w:r>
        <w:t xml:space="preserve"> </w:t>
      </w:r>
      <w:r>
        <w:rPr>
          <w:i/>
          <w:iCs/>
        </w:rPr>
        <w:t xml:space="preserve">Commentary on the First Book of Sentences</w:t>
      </w:r>
    </w:p>
    <w:p>
      <w:pPr>
        <w:pStyle w:val="FirstParagraph"/>
      </w:pPr>
      <w:r>
        <w:rPr>
          <w:b/>
          <w:bCs/>
        </w:rPr>
        <w:t xml:space="preserve">Locus:</w:t>
      </w:r>
      <w:r>
        <w:t xml:space="preserve"> </w:t>
      </w:r>
      <w:r>
        <w:t xml:space="preserve">I Sent., d. 8, p. II, a. un., q. 1, arguments 1–2 (inherited register B12).</w:t>
      </w:r>
      <w:r>
        <w:t xml:space="preserve"> </w:t>
      </w:r>
      <w:r>
        <w:rPr>
          <w:b/>
          <w:bCs/>
        </w:rPr>
        <w:t xml:space="preserve">Status:</w:t>
      </w:r>
      <w:r>
        <w:t xml:space="preserve"> </w:t>
      </w:r>
      <w:r>
        <w:t xml:space="preserve">Inherited primary audit; not freshly critical-collated. URL is specialist orientation, not the Latin witness.</w:t>
      </w:r>
    </w:p>
    <w:p>
      <w:pPr>
        <w:pStyle w:val="BodyText"/>
      </w:pPr>
      <w:r>
        <w:rPr>
          <w:b/>
          <w:bCs/>
        </w:rPr>
        <w:t xml:space="preserve">Edition / witness:</w:t>
      </w:r>
      <w:r>
        <w:t xml:space="preserve"> </w:t>
      </w:r>
      <w:r>
        <w:t xml:space="preserve">Opera omnia, vol. I, Quaracchi, 1882; Latin transcription audit inherited from Being-First. English quotation is manuscript working translation.</w:t>
      </w:r>
    </w:p>
    <w:p>
      <w:pPr>
        <w:pStyle w:val="BodyText"/>
      </w:pPr>
      <w:r>
        <w:rPr>
          <w:b/>
          <w:bCs/>
        </w:rPr>
        <w:t xml:space="preserve">Use:</w:t>
      </w:r>
      <w:r>
        <w:t xml:space="preserve"> </w:t>
      </w:r>
      <w:r>
        <w:t xml:space="preserve">Arguments from firstness and essential perfection help test dependence on constituents; different attributes need not be parts of perfection.</w:t>
      </w:r>
      <w:r>
        <w:t xml:space="preserve"> </w:t>
      </w:r>
      <w:r>
        <w:rPr>
          <w:b/>
          <w:bCs/>
        </w:rPr>
        <w:t xml:space="preserve">Limit:</w:t>
      </w:r>
      <w:r>
        <w:t xml:space="preserve"> </w:t>
      </w:r>
      <w:r>
        <w:t xml:space="preserve">Does not identify God with every known object or relation to a creature. The modern argument from dependence on constituents is a reconstruction.</w:t>
      </w:r>
    </w:p>
    <w:p>
      <w:pPr>
        <w:pStyle w:val="BodyText"/>
      </w:pPr>
      <w:hyperlink r:id="rId31">
        <w:r>
          <w:rPr>
            <w:rStyle w:val="Hyperlink"/>
          </w:rPr>
          <w:t xml:space="preserve">Reading / orientation address</w:t>
        </w:r>
      </w:hyperlink>
      <w:r>
        <w:t xml:space="preserve">. Specialist orientation; not the directly consulted primary witness.</w:t>
      </w:r>
    </w:p>
    <w:bookmarkEnd w:id="332"/>
    <w:bookmarkStart w:id="333" w:name="X55fa6d57fd68b07f526948f72536d657a886c82"/>
    <w:p>
      <w:pPr>
        <w:pStyle w:val="Heading4"/>
      </w:pPr>
      <w:r>
        <w:t xml:space="preserve">RD-BON-FULL · Bonaventure,</w:t>
      </w:r>
      <w:r>
        <w:t xml:space="preserve"> </w:t>
      </w:r>
      <w:r>
        <w:rPr>
          <w:i/>
          <w:iCs/>
        </w:rPr>
        <w:t xml:space="preserve">Commentary on the First Book of Sentences</w:t>
      </w:r>
    </w:p>
    <w:p>
      <w:pPr>
        <w:pStyle w:val="FirstParagraph"/>
      </w:pPr>
      <w:r>
        <w:rPr>
          <w:b/>
          <w:bCs/>
        </w:rPr>
        <w:t xml:space="preserve">Locus:</w:t>
      </w:r>
      <w:r>
        <w:t xml:space="preserve"> </w:t>
      </w:r>
      <w:r>
        <w:t xml:space="preserve">I Sent., d. 8, p. II, a. un., q. 1, ad 1 (inherited register B13).</w:t>
      </w:r>
      <w:r>
        <w:t xml:space="preserve"> </w:t>
      </w:r>
      <w:r>
        <w:rPr>
          <w:b/>
          <w:bCs/>
        </w:rPr>
        <w:t xml:space="preserve">Status:</w:t>
      </w:r>
      <w:r>
        <w:t xml:space="preserve"> </w:t>
      </w:r>
      <w:r>
        <w:t xml:space="preserve">Inherited primary audit; URL is specialist orientation.</w:t>
      </w:r>
    </w:p>
    <w:p>
      <w:pPr>
        <w:pStyle w:val="BodyText"/>
      </w:pPr>
      <w:r>
        <w:rPr>
          <w:b/>
          <w:bCs/>
        </w:rPr>
        <w:t xml:space="preserve">Edition / witness:</w:t>
      </w:r>
      <w:r>
        <w:t xml:space="preserve"> </w:t>
      </w:r>
      <w:r>
        <w:t xml:space="preserve">Opera omnia, vol. I, Quaracchi, 1882; working English translation in supplied manuscript.</w:t>
      </w:r>
    </w:p>
    <w:p>
      <w:pPr>
        <w:pStyle w:val="BodyText"/>
      </w:pPr>
      <w:r>
        <w:rPr>
          <w:b/>
          <w:bCs/>
        </w:rPr>
        <w:t xml:space="preserve">Use:</w:t>
      </w:r>
      <w:r>
        <w:t xml:space="preserve"> </w:t>
      </w:r>
      <w:r>
        <w:t xml:space="preserve">Positive fullness rather than deficient featurelessness; the immediate communication argument is Trinitarian.</w:t>
      </w:r>
      <w:r>
        <w:t xml:space="preserve"> </w:t>
      </w:r>
      <w:r>
        <w:rPr>
          <w:b/>
          <w:bCs/>
        </w:rPr>
        <w:t xml:space="preserve">Limit:</w:t>
      </w:r>
      <w:r>
        <w:t xml:space="preserve"> </w:t>
      </w:r>
      <w:r>
        <w:t xml:space="preserve">Does not entail that this world or any created world necessarily exists. Nonreception alone does not establish fullness.</w:t>
      </w:r>
    </w:p>
    <w:p>
      <w:pPr>
        <w:pStyle w:val="BodyText"/>
      </w:pPr>
      <w:hyperlink r:id="rId31">
        <w:r>
          <w:rPr>
            <w:rStyle w:val="Hyperlink"/>
          </w:rPr>
          <w:t xml:space="preserve">Reading / orientation address</w:t>
        </w:r>
      </w:hyperlink>
      <w:r>
        <w:t xml:space="preserve">. Specialist orientation; not the directly consulted primary witness.</w:t>
      </w:r>
    </w:p>
    <w:bookmarkEnd w:id="333"/>
    <w:bookmarkStart w:id="334" w:name="Xe72ca780a3ee86222f4f29b7d4fd1dc68473bc9"/>
    <w:p>
      <w:pPr>
        <w:pStyle w:val="Heading4"/>
      </w:pPr>
      <w:r>
        <w:t xml:space="preserve">RD-BON-ORIGIN · Bonaventure,</w:t>
      </w:r>
      <w:r>
        <w:t xml:space="preserve"> </w:t>
      </w:r>
      <w:r>
        <w:rPr>
          <w:i/>
          <w:iCs/>
        </w:rPr>
        <w:t xml:space="preserve">Commentary on the First Book of Sentences</w:t>
      </w:r>
    </w:p>
    <w:p>
      <w:pPr>
        <w:pStyle w:val="FirstParagraph"/>
      </w:pPr>
      <w:r>
        <w:rPr>
          <w:b/>
          <w:bCs/>
        </w:rPr>
        <w:t xml:space="preserve">Locus:</w:t>
      </w:r>
      <w:r>
        <w:t xml:space="preserve"> </w:t>
      </w:r>
      <w:r>
        <w:t xml:space="preserve">I Sent., d. 8, p. II, a. un., q. 1, ad 2 (inherited register B13).</w:t>
      </w:r>
      <w:r>
        <w:t xml:space="preserve"> </w:t>
      </w:r>
      <w:r>
        <w:rPr>
          <w:b/>
          <w:bCs/>
        </w:rPr>
        <w:t xml:space="preserve">Status:</w:t>
      </w:r>
      <w:r>
        <w:t xml:space="preserve"> </w:t>
      </w:r>
      <w:r>
        <w:t xml:space="preserve">Inherited primary audit; paraphrase of manuscript source discussion, no new critical collation.</w:t>
      </w:r>
    </w:p>
    <w:p>
      <w:pPr>
        <w:pStyle w:val="BodyText"/>
      </w:pPr>
      <w:r>
        <w:rPr>
          <w:b/>
          <w:bCs/>
        </w:rPr>
        <w:t xml:space="preserve">Edition / witness:</w:t>
      </w:r>
      <w:r>
        <w:t xml:space="preserve"> </w:t>
      </w:r>
      <w:r>
        <w:t xml:space="preserve">Opera omnia, vol. I, Quaracchi, 1882; prior manuscript Latin-transcription audit.</w:t>
      </w:r>
    </w:p>
    <w:p>
      <w:pPr>
        <w:pStyle w:val="BodyText"/>
      </w:pPr>
      <w:r>
        <w:rPr>
          <w:b/>
          <w:bCs/>
        </w:rPr>
        <w:t xml:space="preserve">Use:</w:t>
      </w:r>
      <w:r>
        <w:t xml:space="preserve"> </w:t>
      </w:r>
      <w:r>
        <w:t xml:space="preserve">Theologically affirmed personal origins need not be added parts that constitute divine perfection.</w:t>
      </w:r>
      <w:r>
        <w:t xml:space="preserve"> </w:t>
      </w:r>
      <w:r>
        <w:rPr>
          <w:b/>
          <w:bCs/>
        </w:rPr>
        <w:t xml:space="preserve">Limit:</w:t>
      </w:r>
      <w:r>
        <w:t xml:space="preserve"> </w:t>
      </w:r>
      <w:r>
        <w:t xml:space="preserve">Trinitarian personal origin, created dependence, and free creative action need distinct accounts. This argument neither proves the Trinity nor explains every condition of free divine action.</w:t>
      </w:r>
    </w:p>
    <w:p>
      <w:pPr>
        <w:pStyle w:val="BodyText"/>
      </w:pPr>
      <w:hyperlink r:id="rId31">
        <w:r>
          <w:rPr>
            <w:rStyle w:val="Hyperlink"/>
          </w:rPr>
          <w:t xml:space="preserve">Reading / orientation address</w:t>
        </w:r>
      </w:hyperlink>
      <w:r>
        <w:t xml:space="preserve">. Specialist orientation; not the directly consulted primary witness.</w:t>
      </w:r>
    </w:p>
    <w:bookmarkEnd w:id="334"/>
    <w:bookmarkStart w:id="335" w:name="Xe4f3538f9a598684bdf376b8dc65fa6f47e99b5"/>
    <w:p>
      <w:pPr>
        <w:pStyle w:val="Heading4"/>
      </w:pPr>
      <w:r>
        <w:t xml:space="preserve">RD-BON-MEASURE · Bonaventure,</w:t>
      </w:r>
      <w:r>
        <w:t xml:space="preserve"> </w:t>
      </w:r>
      <w:r>
        <w:rPr>
          <w:i/>
          <w:iCs/>
        </w:rPr>
        <w:t xml:space="preserve">Itinerarium mentis in Deum</w:t>
      </w:r>
    </w:p>
    <w:p>
      <w:pPr>
        <w:pStyle w:val="FirstParagraph"/>
      </w:pPr>
      <w:r>
        <w:rPr>
          <w:b/>
          <w:bCs/>
        </w:rPr>
        <w:t xml:space="preserve">Locus:</w:t>
      </w:r>
      <w:r>
        <w:t xml:space="preserve"> </w:t>
      </w:r>
      <w:r>
        <w:t xml:space="preserve">II.10 (inherited register N6).</w:t>
      </w:r>
      <w:r>
        <w:t xml:space="preserve"> </w:t>
      </w:r>
      <w:r>
        <w:rPr>
          <w:b/>
          <w:bCs/>
        </w:rPr>
        <w:t xml:space="preserve">Status:</w:t>
      </w:r>
      <w:r>
        <w:t xml:space="preserve"> </w:t>
      </w:r>
      <w:r>
        <w:t xml:space="preserve">Inherited primary quotation; Latin Library access failed on this pass, no new critical collation.</w:t>
      </w:r>
    </w:p>
    <w:p>
      <w:pPr>
        <w:pStyle w:val="BodyText"/>
      </w:pPr>
      <w:r>
        <w:rPr>
          <w:b/>
          <w:bCs/>
        </w:rPr>
        <w:t xml:space="preserve">Edition / witness:</w:t>
      </w:r>
      <w:r>
        <w:t xml:space="preserve"> </w:t>
      </w:r>
      <w:r>
        <w:t xml:space="preserve">Opera omnia, vol. V, Quaracchi, 1891; manuscript working English translation of Latin Library transcription.</w:t>
      </w:r>
    </w:p>
    <w:p>
      <w:pPr>
        <w:pStyle w:val="BodyText"/>
      </w:pPr>
      <w:r>
        <w:rPr>
          <w:b/>
          <w:bCs/>
        </w:rPr>
        <w:t xml:space="preserve">Use:</w:t>
      </w:r>
      <w:r>
        <w:t xml:space="preserve"> </w:t>
      </w:r>
      <w:r>
        <w:t xml:space="preserve">A historical resource for finite measure as a positive condition of an achieved good.</w:t>
      </w:r>
      <w:r>
        <w:t xml:space="preserve"> </w:t>
      </w:r>
      <w:r>
        <w:rPr>
          <w:b/>
          <w:bCs/>
        </w:rPr>
        <w:t xml:space="preserve">Limit:</w:t>
      </w:r>
      <w:r>
        <w:t xml:space="preserve"> </w:t>
      </w:r>
      <w:r>
        <w:t xml:space="preserve">Melody, learning, and finite-history tests are constructive extensions; does not show every finite limitation or loss is good.</w:t>
      </w:r>
    </w:p>
    <w:p>
      <w:pPr>
        <w:pStyle w:val="BodyText"/>
      </w:pPr>
      <w:hyperlink r:id="rId31">
        <w:r>
          <w:rPr>
            <w:rStyle w:val="Hyperlink"/>
          </w:rPr>
          <w:t xml:space="preserve">Reading / orientation address</w:t>
        </w:r>
      </w:hyperlink>
      <w:r>
        <w:t xml:space="preserve">. Specialist orientation; not the directly consulted primary witness.</w:t>
      </w:r>
    </w:p>
    <w:bookmarkEnd w:id="335"/>
    <w:bookmarkStart w:id="336" w:name="X1a6a3d1e2138b5ea55c834e42330c0664692dd0"/>
    <w:p>
      <w:pPr>
        <w:pStyle w:val="Heading4"/>
      </w:pPr>
      <w:r>
        <w:t xml:space="preserve">RD-BON-SEP · Tim Noone and R. E. Houser,</w:t>
      </w:r>
      <w:r>
        <w:t xml:space="preserve"> </w:t>
      </w:r>
      <w:r>
        <w:rPr>
          <w:i/>
          <w:iCs/>
        </w:rPr>
        <w:t xml:space="preserve">Bonaventure, Stanford Encyclopedia of Philosophy</w:t>
      </w:r>
    </w:p>
    <w:p>
      <w:pPr>
        <w:pStyle w:val="FirstParagraph"/>
      </w:pPr>
      <w:r>
        <w:rPr>
          <w:b/>
          <w:bCs/>
        </w:rPr>
        <w:t xml:space="preserve">Locus:</w:t>
      </w:r>
      <w:r>
        <w:t xml:space="preserve"> </w:t>
      </w:r>
      <w:r>
        <w:t xml:space="preserve">§5 opening; §5.2 participation/aitiological argument; selected truth discussion.</w:t>
      </w:r>
      <w:r>
        <w:t xml:space="preserve"> </w:t>
      </w:r>
      <w:r>
        <w:rPr>
          <w:b/>
          <w:bCs/>
        </w:rPr>
        <w:t xml:space="preserve">Status:</w:t>
      </w:r>
      <w:r>
        <w:t xml:space="preserve"> </w:t>
      </w:r>
      <w:r>
        <w:t xml:space="preserve">Fresh publisher consultation of selected passages, 12 October 2026.</w:t>
      </w:r>
    </w:p>
    <w:p>
      <w:pPr>
        <w:pStyle w:val="BodyText"/>
      </w:pPr>
      <w:r>
        <w:rPr>
          <w:b/>
          <w:bCs/>
        </w:rPr>
        <w:t xml:space="preserve">Edition / witness:</w:t>
      </w:r>
      <w:r>
        <w:t xml:space="preserve"> </w:t>
      </w:r>
      <w:r>
        <w:t xml:space="preserve">Substantive revision 16 August 2023; current publisher text.</w:t>
      </w:r>
    </w:p>
    <w:p>
      <w:pPr>
        <w:pStyle w:val="BodyText"/>
      </w:pPr>
      <w:r>
        <w:rPr>
          <w:b/>
          <w:bCs/>
        </w:rPr>
        <w:t xml:space="preserve">Use:</w:t>
      </w:r>
      <w:r>
        <w:t xml:space="preserve"> </w:t>
      </w:r>
      <w:r>
        <w:t xml:space="preserve">Supplies Hexaëmeron 6.1 (Quaracchi V:360) and 1.13 (V:331), and a specialist account of participation and transcendental versus categorical attributes.</w:t>
      </w:r>
      <w:r>
        <w:t xml:space="preserve"> </w:t>
      </w:r>
      <w:r>
        <w:rPr>
          <w:b/>
          <w:bCs/>
        </w:rPr>
        <w:t xml:space="preserve">Limit:</w:t>
      </w:r>
      <w:r>
        <w:t xml:space="preserve"> </w:t>
      </w:r>
      <w:r>
        <w:t xml:space="preserve">Those Hexaëmeron primary loci were secondary-located, not freshly collated; the article interpretation does not establish the proposed account of divine agency.</w:t>
      </w:r>
    </w:p>
    <w:p>
      <w:pPr>
        <w:pStyle w:val="BodyText"/>
      </w:pPr>
      <w:hyperlink r:id="rId31">
        <w:r>
          <w:rPr>
            <w:rStyle w:val="Hyperlink"/>
          </w:rPr>
          <w:t xml:space="preserve">Reading / orientation address</w:t>
        </w:r>
      </w:hyperlink>
      <w:r>
        <w:t xml:space="preserve">.</w:t>
      </w:r>
    </w:p>
    <w:bookmarkEnd w:id="336"/>
    <w:bookmarkStart w:id="337" w:name="X52ae3967740fa263ff887e48ca8d823e55ed6e6"/>
    <w:p>
      <w:pPr>
        <w:pStyle w:val="Heading4"/>
      </w:pPr>
      <w:r>
        <w:t xml:space="preserve">RD-ERI-APPEAR · John Scottus Eriugena,</w:t>
      </w:r>
      <w:r>
        <w:t xml:space="preserve"> </w:t>
      </w:r>
      <w:r>
        <w:rPr>
          <w:i/>
          <w:iCs/>
        </w:rPr>
        <w:t xml:space="preserve">Periphyseon (The Division of Nature)</w:t>
      </w:r>
    </w:p>
    <w:p>
      <w:pPr>
        <w:pStyle w:val="FirstParagraph"/>
      </w:pPr>
      <w:r>
        <w:rPr>
          <w:b/>
          <w:bCs/>
        </w:rPr>
        <w:t xml:space="preserve">Locus:</w:t>
      </w:r>
      <w:r>
        <w:t xml:space="preserve"> </w:t>
      </w:r>
      <w:r>
        <w:t xml:space="preserve">I.446D; printed p. 31; inherited manuscript register E11 (inherited register E11).</w:t>
      </w:r>
      <w:r>
        <w:t xml:space="preserve"> </w:t>
      </w:r>
      <w:r>
        <w:rPr>
          <w:b/>
          <w:bCs/>
        </w:rPr>
        <w:t xml:space="preserve">Status:</w:t>
      </w:r>
      <w:r>
        <w:t xml:space="preserve"> </w:t>
      </w:r>
      <w:r>
        <w:t xml:space="preserve">Inherited supplied primary translation; no new critical Latin collation. URL is specialist orientation.</w:t>
      </w:r>
    </w:p>
    <w:p>
      <w:pPr>
        <w:pStyle w:val="BodyText"/>
      </w:pPr>
      <w:r>
        <w:rPr>
          <w:b/>
          <w:bCs/>
        </w:rPr>
        <w:t xml:space="preserve">Edition / witness:</w:t>
      </w:r>
      <w:r>
        <w:t xml:space="preserve"> </w:t>
      </w:r>
      <w:r>
        <w:t xml:space="preserve">Translated by I. P. Sheldon-Williams, revised by John J. O’Meara, Bellarmin/Dumbarton Oaks, 1987.</w:t>
      </w:r>
    </w:p>
    <w:p>
      <w:pPr>
        <w:pStyle w:val="BodyText"/>
      </w:pPr>
      <w:r>
        <w:rPr>
          <w:b/>
          <w:bCs/>
        </w:rPr>
        <w:t xml:space="preserve">Use:</w:t>
      </w:r>
      <w:r>
        <w:t xml:space="preserve"> </w:t>
      </w:r>
      <w:r>
        <w:t xml:space="preserve">A distinction between the source and how it appears, relevant to the recipient’s conditions.</w:t>
      </w:r>
      <w:r>
        <w:t xml:space="preserve"> </w:t>
      </w:r>
      <w:r>
        <w:rPr>
          <w:b/>
          <w:bCs/>
        </w:rPr>
        <w:t xml:space="preserve">Limit:</w:t>
      </w:r>
      <w:r>
        <w:t xml:space="preserve"> </w:t>
      </w:r>
      <w:r>
        <w:t xml:space="preserve">Does not cancel the stronger God–creature unity passages or by itself explain divine self-knowledge.</w:t>
      </w:r>
    </w:p>
    <w:p>
      <w:pPr>
        <w:pStyle w:val="BodyText"/>
      </w:pPr>
      <w:hyperlink r:id="rId35">
        <w:r>
          <w:rPr>
            <w:rStyle w:val="Hyperlink"/>
          </w:rPr>
          <w:t xml:space="preserve">Reading / orientation address</w:t>
        </w:r>
      </w:hyperlink>
      <w:r>
        <w:t xml:space="preserve">. Specialist orientation; not the directly consulted primary witness.</w:t>
      </w:r>
    </w:p>
    <w:bookmarkEnd w:id="337"/>
    <w:bookmarkStart w:id="338" w:name="Xc6e759c93d1e96004ec2bf31a76e738a6d60f85"/>
    <w:p>
      <w:pPr>
        <w:pStyle w:val="Heading4"/>
      </w:pPr>
      <w:r>
        <w:t xml:space="preserve">RD-ERI-EXPRESSION · John Scottus Eriugena,</w:t>
      </w:r>
      <w:r>
        <w:t xml:space="preserve"> </w:t>
      </w:r>
      <w:r>
        <w:rPr>
          <w:i/>
          <w:iCs/>
        </w:rPr>
        <w:t xml:space="preserve">Periphyseon (The Division of Nature)</w:t>
      </w:r>
    </w:p>
    <w:p>
      <w:pPr>
        <w:pStyle w:val="FirstParagraph"/>
      </w:pPr>
      <w:r>
        <w:rPr>
          <w:b/>
          <w:bCs/>
        </w:rPr>
        <w:t xml:space="preserve">Locus:</w:t>
      </w:r>
      <w:r>
        <w:t xml:space="preserve"> </w:t>
      </w:r>
      <w:r>
        <w:t xml:space="preserve">I.454B–C; printed p. 40; inherited manuscript register E4 (inherited register E4).</w:t>
      </w:r>
      <w:r>
        <w:t xml:space="preserve"> </w:t>
      </w:r>
      <w:r>
        <w:rPr>
          <w:b/>
          <w:bCs/>
        </w:rPr>
        <w:t xml:space="preserve">Status:</w:t>
      </w:r>
      <w:r>
        <w:t xml:space="preserve"> </w:t>
      </w:r>
      <w:r>
        <w:t xml:space="preserve">Inherited supplied primary quotation, not freshly critical-collated.</w:t>
      </w:r>
    </w:p>
    <w:p>
      <w:pPr>
        <w:pStyle w:val="BodyText"/>
      </w:pPr>
      <w:r>
        <w:rPr>
          <w:b/>
          <w:bCs/>
        </w:rPr>
        <w:t xml:space="preserve">Edition / witness:</w:t>
      </w:r>
      <w:r>
        <w:t xml:space="preserve"> </w:t>
      </w:r>
      <w:r>
        <w:t xml:space="preserve">Sheldon-Williams/O’Meara translation, 1987.</w:t>
      </w:r>
    </w:p>
    <w:p>
      <w:pPr>
        <w:pStyle w:val="BodyText"/>
      </w:pPr>
      <w:r>
        <w:rPr>
          <w:b/>
          <w:bCs/>
        </w:rPr>
        <w:t xml:space="preserve">Use:</w:t>
      </w:r>
      <w:r>
        <w:t xml:space="preserve"> </w:t>
      </w:r>
      <w:r>
        <w:t xml:space="preserve">Determinate expression is metaphysically important, not merely an observer’s optional inference.</w:t>
      </w:r>
      <w:r>
        <w:t xml:space="preserve"> </w:t>
      </w:r>
      <w:r>
        <w:rPr>
          <w:b/>
          <w:bCs/>
        </w:rPr>
        <w:t xml:space="preserve">Limit:</w:t>
      </w:r>
      <w:r>
        <w:t xml:space="preserve"> </w:t>
      </w:r>
      <w:r>
        <w:t xml:space="preserve">The analogy explicitly differs from divine nature; cannot import human learning or self-completion into God. Interpreting this through created reception is a constructive proposal.</w:t>
      </w:r>
    </w:p>
    <w:p>
      <w:pPr>
        <w:pStyle w:val="BodyText"/>
      </w:pPr>
      <w:hyperlink r:id="rId35">
        <w:r>
          <w:rPr>
            <w:rStyle w:val="Hyperlink"/>
          </w:rPr>
          <w:t xml:space="preserve">Reading / orientation address</w:t>
        </w:r>
      </w:hyperlink>
      <w:r>
        <w:t xml:space="preserve">. Specialist orientation; not the directly consulted primary witness.</w:t>
      </w:r>
    </w:p>
    <w:bookmarkEnd w:id="338"/>
    <w:bookmarkStart w:id="339" w:name="X28d7f030a94ca8362064121b62b66402ed301cb"/>
    <w:p>
      <w:pPr>
        <w:pStyle w:val="Heading4"/>
      </w:pPr>
      <w:r>
        <w:t xml:space="preserve">RD-ERI-PRESSURE · John Scottus Eriugena,</w:t>
      </w:r>
      <w:r>
        <w:t xml:space="preserve"> </w:t>
      </w:r>
      <w:r>
        <w:rPr>
          <w:i/>
          <w:iCs/>
        </w:rPr>
        <w:t xml:space="preserve">Periphyseon (The Division of Nature)</w:t>
      </w:r>
    </w:p>
    <w:p>
      <w:pPr>
        <w:pStyle w:val="FirstParagraph"/>
      </w:pPr>
      <w:r>
        <w:rPr>
          <w:b/>
          <w:bCs/>
        </w:rPr>
        <w:t xml:space="preserve">Locus:</w:t>
      </w:r>
      <w:r>
        <w:t xml:space="preserve"> </w:t>
      </w:r>
      <w:r>
        <w:t xml:space="preserve">III.678C–D, p. 305; II.589B, pp. 195–196; III.689B, pp. 317–318 (inherited E5–E8).</w:t>
      </w:r>
      <w:r>
        <w:t xml:space="preserve"> </w:t>
      </w:r>
      <w:r>
        <w:rPr>
          <w:b/>
          <w:bCs/>
        </w:rPr>
        <w:t xml:space="preserve">Status:</w:t>
      </w:r>
      <w:r>
        <w:t xml:space="preserve"> </w:t>
      </w:r>
      <w:r>
        <w:t xml:space="preserve">Inherited supplied primary quotations; no fresh complete critical-edition collation.</w:t>
      </w:r>
    </w:p>
    <w:p>
      <w:pPr>
        <w:pStyle w:val="BodyText"/>
      </w:pPr>
      <w:r>
        <w:rPr>
          <w:b/>
          <w:bCs/>
        </w:rPr>
        <w:t xml:space="preserve">Edition / witness:</w:t>
      </w:r>
      <w:r>
        <w:t xml:space="preserve"> </w:t>
      </w:r>
      <w:r>
        <w:t xml:space="preserve">Sheldon-Williams/O’Meara translation, 1987.</w:t>
      </w:r>
    </w:p>
    <w:p>
      <w:pPr>
        <w:pStyle w:val="BodyText"/>
      </w:pPr>
      <w:r>
        <w:rPr>
          <w:b/>
          <w:bCs/>
        </w:rPr>
        <w:t xml:space="preserve">Use:</w:t>
      </w:r>
      <w:r>
        <w:t xml:space="preserve"> </w:t>
      </w:r>
      <w:r>
        <w:t xml:space="preserve">The adopted account must explicitly refuse numerical God–creature identity and completion of God by creation if either is required by the historical text.</w:t>
      </w:r>
      <w:r>
        <w:t xml:space="preserve"> </w:t>
      </w:r>
      <w:r>
        <w:rPr>
          <w:b/>
          <w:bCs/>
        </w:rPr>
        <w:t xml:space="preserve">Limit:</w:t>
      </w:r>
      <w:r>
        <w:t xml:space="preserve"> </w:t>
      </w:r>
      <w:r>
        <w:t xml:space="preserve">Do not harmonize away the strong wording. Preserve</w:t>
      </w:r>
      <w:r>
        <w:t xml:space="preserve"> </w:t>
      </w:r>
      <w:r>
        <w:t xml:space="preserve">“</w:t>
      </w:r>
      <w:r>
        <w:t xml:space="preserve">as it were</w:t>
      </w:r>
      <w:r>
        <w:t xml:space="preserve">”</w:t>
      </w:r>
      <w:r>
        <w:t xml:space="preserve"> </w:t>
      </w:r>
      <w:r>
        <w:t xml:space="preserve">and</w:t>
      </w:r>
      <w:r>
        <w:t xml:space="preserve"> </w:t>
      </w:r>
      <w:r>
        <w:t xml:space="preserve">“</w:t>
      </w:r>
      <w:r>
        <w:t xml:space="preserve">in something</w:t>
      </w:r>
      <w:r>
        <w:t xml:space="preserve">”</w:t>
      </w:r>
      <w:r>
        <w:t xml:space="preserve"> </w:t>
      </w:r>
      <w:r>
        <w:t xml:space="preserve">in III.689B. III.678D says the immediate unity passage is not about the Incarnation.</w:t>
      </w:r>
    </w:p>
    <w:p>
      <w:pPr>
        <w:pStyle w:val="BodyText"/>
      </w:pPr>
      <w:hyperlink r:id="rId35">
        <w:r>
          <w:rPr>
            <w:rStyle w:val="Hyperlink"/>
          </w:rPr>
          <w:t xml:space="preserve">Reading / orientation address</w:t>
        </w:r>
      </w:hyperlink>
      <w:r>
        <w:t xml:space="preserve">. Specialist orientation; not the directly consulted primary witness.</w:t>
      </w:r>
    </w:p>
    <w:bookmarkEnd w:id="339"/>
    <w:bookmarkStart w:id="340" w:name="X640ed9b88f3e7474b4208bd3297483e16c68bae"/>
    <w:p>
      <w:pPr>
        <w:pStyle w:val="Heading4"/>
      </w:pPr>
      <w:r>
        <w:t xml:space="preserve">RD-ERI-SEP · Dermot Moran,</w:t>
      </w:r>
      <w:r>
        <w:t xml:space="preserve"> </w:t>
      </w:r>
      <w:r>
        <w:rPr>
          <w:i/>
          <w:iCs/>
        </w:rPr>
        <w:t xml:space="preserve">John Scottus Eriugena, Stanford Encyclopedia of Philosophy</w:t>
      </w:r>
    </w:p>
    <w:p>
      <w:pPr>
        <w:pStyle w:val="FirstParagraph"/>
      </w:pPr>
      <w:r>
        <w:rPr>
          <w:b/>
          <w:bCs/>
        </w:rPr>
        <w:t xml:space="preserve">Locus:</w:t>
      </w:r>
      <w:r>
        <w:t xml:space="preserve"> </w:t>
      </w:r>
      <w:r>
        <w:t xml:space="preserve">§§3.3–3.4; selected §3.9 passages on human nature and unity.</w:t>
      </w:r>
      <w:r>
        <w:t xml:space="preserve"> </w:t>
      </w:r>
      <w:r>
        <w:rPr>
          <w:b/>
          <w:bCs/>
        </w:rPr>
        <w:t xml:space="preserve">Status:</w:t>
      </w:r>
      <w:r>
        <w:t xml:space="preserve"> </w:t>
      </w:r>
      <w:r>
        <w:t xml:space="preserve">Fresh publisher consultation of selected passages, 12 October 2026.</w:t>
      </w:r>
    </w:p>
    <w:p>
      <w:pPr>
        <w:pStyle w:val="BodyText"/>
      </w:pPr>
      <w:r>
        <w:rPr>
          <w:b/>
          <w:bCs/>
        </w:rPr>
        <w:t xml:space="preserve">Edition / witness:</w:t>
      </w:r>
      <w:r>
        <w:t xml:space="preserve"> </w:t>
      </w:r>
      <w:r>
        <w:t xml:space="preserve">Substantive revision 30 October 2019; current publisher text.</w:t>
      </w:r>
    </w:p>
    <w:p>
      <w:pPr>
        <w:pStyle w:val="BodyText"/>
      </w:pPr>
      <w:r>
        <w:rPr>
          <w:b/>
          <w:bCs/>
        </w:rPr>
        <w:t xml:space="preserve">Use:</w:t>
      </w:r>
      <w:r>
        <w:t xml:space="preserve"> </w:t>
      </w:r>
      <w:r>
        <w:t xml:space="preserve">Confirms the need for critical retrieval rather than an effortless historical synthesis; provides I.455B and IV.796B as primary leads.</w:t>
      </w:r>
      <w:r>
        <w:t xml:space="preserve"> </w:t>
      </w:r>
      <w:r>
        <w:rPr>
          <w:b/>
          <w:bCs/>
        </w:rPr>
        <w:t xml:space="preserve">Limit:</w:t>
      </w:r>
      <w:r>
        <w:t xml:space="preserve"> </w:t>
      </w:r>
      <w:r>
        <w:t xml:space="preserve">I.455B and IV.796B are secondary-located in this pass, not directly collated primary quotations. The article offers an interpretation that must be distinguished from the project’s constructive choice.</w:t>
      </w:r>
    </w:p>
    <w:p>
      <w:pPr>
        <w:pStyle w:val="BodyText"/>
      </w:pPr>
      <w:hyperlink r:id="rId35">
        <w:r>
          <w:rPr>
            <w:rStyle w:val="Hyperlink"/>
          </w:rPr>
          <w:t xml:space="preserve">Reading / orientation address</w:t>
        </w:r>
      </w:hyperlink>
      <w:r>
        <w:t xml:space="preserve">.</w:t>
      </w:r>
    </w:p>
    <w:bookmarkEnd w:id="340"/>
    <w:bookmarkEnd w:id="341"/>
    <w:bookmarkStart w:id="346" w:name="ratzinger-benedict-xvi"/>
    <w:p>
      <w:pPr>
        <w:pStyle w:val="Heading3"/>
      </w:pPr>
      <w:r>
        <w:t xml:space="preserve">Ratzinger / Benedict XVI</w:t>
      </w:r>
    </w:p>
    <w:bookmarkStart w:id="342" w:name="X6a2cfc553b634e3d1a663250ff0db321464201d"/>
    <w:p>
      <w:pPr>
        <w:pStyle w:val="Heading4"/>
      </w:pPr>
      <w:r>
        <w:t xml:space="preserve">RX-CV · Benedict XVI (Joseph Ratzinger),</w:t>
      </w:r>
      <w:r>
        <w:t xml:space="preserve"> </w:t>
      </w:r>
      <w:r>
        <w:rPr>
          <w:i/>
          <w:iCs/>
        </w:rPr>
        <w:t xml:space="preserve">Caritas in veritate</w:t>
      </w:r>
    </w:p>
    <w:p>
      <w:pPr>
        <w:pStyle w:val="FirstParagraph"/>
      </w:pPr>
      <w:r>
        <w:rPr>
          <w:b/>
          <w:bCs/>
        </w:rPr>
        <w:t xml:space="preserve">Locus:</w:t>
      </w:r>
      <w:r>
        <w:t xml:space="preserve"> </w:t>
      </w:r>
      <w:r>
        <w:t xml:space="preserve">§§2–5, 52–55; especially §§53–54.</w:t>
      </w:r>
      <w:r>
        <w:t xml:space="preserve"> </w:t>
      </w:r>
      <w:r>
        <w:rPr>
          <w:b/>
          <w:bCs/>
        </w:rPr>
        <w:t xml:space="preserve">Status:</w:t>
      </w:r>
      <w:r>
        <w:t xml:space="preserve"> </w:t>
      </w:r>
      <w:r>
        <w:t xml:space="preserve">consulted-primary-transcript</w:t>
      </w:r>
    </w:p>
    <w:p>
      <w:pPr>
        <w:pStyle w:val="BodyText"/>
      </w:pPr>
      <w:r>
        <w:rPr>
          <w:b/>
          <w:bCs/>
        </w:rPr>
        <w:t xml:space="preserve">Edition / witness:</w:t>
      </w:r>
      <w:r>
        <w:t xml:space="preserve"> </w:t>
      </w:r>
      <w:r>
        <w:t xml:space="preserve">Official English text represented by an unofficial Vatican-scraping transcript; 29 June 2009. Official endpoint inaccessible and not line-collated.</w:t>
      </w:r>
    </w:p>
    <w:p>
      <w:pPr>
        <w:pStyle w:val="BodyText"/>
      </w:pPr>
      <w:r>
        <w:rPr>
          <w:b/>
          <w:bCs/>
        </w:rPr>
        <w:t xml:space="preserve">Use:</w:t>
      </w:r>
      <w:r>
        <w:t xml:space="preserve"> </w:t>
      </w:r>
      <w:r>
        <w:t xml:space="preserve">Theological and social affirmation of communion that preserves persons; a reason to examine real relations without counting every personal difference as a constituent part.</w:t>
      </w:r>
      <w:r>
        <w:t xml:space="preserve"> </w:t>
      </w:r>
      <w:r>
        <w:rPr>
          <w:b/>
          <w:bCs/>
        </w:rPr>
        <w:t xml:space="preserve">Limit:</w:t>
      </w:r>
      <w:r>
        <w:t xml:space="preserve"> </w:t>
      </w:r>
      <w:r>
        <w:t xml:space="preserve">Does not prove how divine action can be free while God remains intrinsically unchanged. Human growth through relationships does not establish divine change. Trinitarian personal origins are not alternative acts of creation.</w:t>
      </w:r>
    </w:p>
    <w:p>
      <w:pPr>
        <w:pStyle w:val="BodyText"/>
      </w:pPr>
      <w:hyperlink r:id="rId43">
        <w:r>
          <w:rPr>
            <w:rStyle w:val="Hyperlink"/>
          </w:rPr>
          <w:t xml:space="preserve">Reading / orientation address</w:t>
        </w:r>
      </w:hyperlink>
      <w:r>
        <w:t xml:space="preserve"> </w:t>
      </w:r>
      <w:r>
        <w:t xml:space="preserve">·</w:t>
      </w:r>
      <w:r>
        <w:t xml:space="preserve"> </w:t>
      </w:r>
      <w:hyperlink r:id="rId102">
        <w:r>
          <w:rPr>
            <w:rStyle w:val="Hyperlink"/>
          </w:rPr>
          <w:t xml:space="preserve">Consulted transcript / earlier witness</w:t>
        </w:r>
      </w:hyperlink>
      <w:r>
        <w:t xml:space="preserve">. Official reading address; access was blocked in this consultation.</w:t>
      </w:r>
    </w:p>
    <w:bookmarkEnd w:id="342"/>
    <w:bookmarkStart w:id="343" w:name="X816797bd92b547994c6c0e160183a82cf57318f"/>
    <w:p>
      <w:pPr>
        <w:pStyle w:val="Heading4"/>
      </w:pPr>
      <w:r>
        <w:t xml:space="preserve">RX-DCE · Benedict XVI (Joseph Ratzinger),</w:t>
      </w:r>
      <w:r>
        <w:t xml:space="preserve"> </w:t>
      </w:r>
      <w:r>
        <w:rPr>
          <w:i/>
          <w:iCs/>
        </w:rPr>
        <w:t xml:space="preserve">Deus caritas est</w:t>
      </w:r>
    </w:p>
    <w:p>
      <w:pPr>
        <w:pStyle w:val="FirstParagraph"/>
      </w:pPr>
      <w:r>
        <w:rPr>
          <w:b/>
          <w:bCs/>
        </w:rPr>
        <w:t xml:space="preserve">Locus:</w:t>
      </w:r>
      <w:r>
        <w:t xml:space="preserve"> </w:t>
      </w:r>
      <w:r>
        <w:t xml:space="preserve">§§9–10; especially §10.</w:t>
      </w:r>
      <w:r>
        <w:t xml:space="preserve"> </w:t>
      </w:r>
      <w:r>
        <w:rPr>
          <w:b/>
          <w:bCs/>
        </w:rPr>
        <w:t xml:space="preserve">Status:</w:t>
      </w:r>
      <w:r>
        <w:t xml:space="preserve"> </w:t>
      </w:r>
      <w:r>
        <w:t xml:space="preserve">consulted-primary-transcript</w:t>
      </w:r>
    </w:p>
    <w:p>
      <w:pPr>
        <w:pStyle w:val="BodyText"/>
      </w:pPr>
      <w:r>
        <w:rPr>
          <w:b/>
          <w:bCs/>
        </w:rPr>
        <w:t xml:space="preserve">Edition / witness:</w:t>
      </w:r>
      <w:r>
        <w:t xml:space="preserve"> </w:t>
      </w:r>
      <w:r>
        <w:t xml:space="preserve">Official English text represented by an unofficial Vatican-scraping transcript; 25 December 2005. Official endpoint inaccessible and not line-collated.</w:t>
      </w:r>
    </w:p>
    <w:p>
      <w:pPr>
        <w:pStyle w:val="BodyText"/>
      </w:pPr>
      <w:r>
        <w:rPr>
          <w:b/>
          <w:bCs/>
        </w:rPr>
        <w:t xml:space="preserve">Use:</w:t>
      </w:r>
      <w:r>
        <w:t xml:space="preserve"> </w:t>
      </w:r>
      <w:r>
        <w:t xml:space="preserve">Christian theological conjunction of intelligibility, willed creation, elective love, and union without fusion.</w:t>
      </w:r>
      <w:r>
        <w:t xml:space="preserve"> </w:t>
      </w:r>
      <w:r>
        <w:rPr>
          <w:b/>
          <w:bCs/>
        </w:rPr>
        <w:t xml:space="preserve">Limit:</w:t>
      </w:r>
      <w:r>
        <w:t xml:space="preserve"> </w:t>
      </w:r>
      <w:r>
        <w:t xml:space="preserve">Does not establish contingency or explain what makes a particular divine action actual. Biblical language does not prove intrinsic divine change; the contrast with Aristotle is not a complete historical assessment.</w:t>
      </w:r>
    </w:p>
    <w:p>
      <w:pPr>
        <w:pStyle w:val="BodyText"/>
      </w:pPr>
      <w:hyperlink r:id="rId104">
        <w:r>
          <w:rPr>
            <w:rStyle w:val="Hyperlink"/>
          </w:rPr>
          <w:t xml:space="preserve">Reading / orientation address</w:t>
        </w:r>
      </w:hyperlink>
      <w:r>
        <w:t xml:space="preserve"> </w:t>
      </w:r>
      <w:r>
        <w:t xml:space="preserve">·</w:t>
      </w:r>
      <w:r>
        <w:t xml:space="preserve"> </w:t>
      </w:r>
      <w:hyperlink r:id="rId105">
        <w:r>
          <w:rPr>
            <w:rStyle w:val="Hyperlink"/>
          </w:rPr>
          <w:t xml:space="preserve">Consulted transcript / earlier witness</w:t>
        </w:r>
      </w:hyperlink>
      <w:r>
        <w:t xml:space="preserve">. Official reading address; access was blocked in this consultation.</w:t>
      </w:r>
    </w:p>
    <w:bookmarkEnd w:id="343"/>
    <w:bookmarkStart w:id="344" w:name="Xc2b211c9c8da5e79292ca848909a8b50110e9cc"/>
    <w:p>
      <w:pPr>
        <w:pStyle w:val="Heading4"/>
      </w:pPr>
      <w:r>
        <w:t xml:space="preserve">RX-SS · Benedict XVI (Joseph Ratzinger),</w:t>
      </w:r>
      <w:r>
        <w:t xml:space="preserve"> </w:t>
      </w:r>
      <w:r>
        <w:rPr>
          <w:i/>
          <w:iCs/>
        </w:rPr>
        <w:t xml:space="preserve">Spe salvi</w:t>
      </w:r>
    </w:p>
    <w:p>
      <w:pPr>
        <w:pStyle w:val="FirstParagraph"/>
      </w:pPr>
      <w:r>
        <w:rPr>
          <w:b/>
          <w:bCs/>
        </w:rPr>
        <w:t xml:space="preserve">Locus:</w:t>
      </w:r>
      <w:r>
        <w:t xml:space="preserve"> </w:t>
      </w:r>
      <w:r>
        <w:t xml:space="preserve">§§14–15.</w:t>
      </w:r>
      <w:r>
        <w:t xml:space="preserve"> </w:t>
      </w:r>
      <w:r>
        <w:rPr>
          <w:b/>
          <w:bCs/>
        </w:rPr>
        <w:t xml:space="preserve">Status:</w:t>
      </w:r>
      <w:r>
        <w:t xml:space="preserve"> </w:t>
      </w:r>
      <w:r>
        <w:t xml:space="preserve">consulted-primary-transcript</w:t>
      </w:r>
    </w:p>
    <w:p>
      <w:pPr>
        <w:pStyle w:val="BodyText"/>
      </w:pPr>
      <w:r>
        <w:rPr>
          <w:b/>
          <w:bCs/>
        </w:rPr>
        <w:t xml:space="preserve">Edition / witness:</w:t>
      </w:r>
      <w:r>
        <w:t xml:space="preserve"> </w:t>
      </w:r>
      <w:r>
        <w:t xml:space="preserve">Official English text represented by an unofficial Vatican-scraping transcript; 30 November 2007. Official endpoint inaccessible and not line-collated.</w:t>
      </w:r>
    </w:p>
    <w:p>
      <w:pPr>
        <w:pStyle w:val="BodyText"/>
      </w:pPr>
      <w:r>
        <w:rPr>
          <w:b/>
          <w:bCs/>
        </w:rPr>
        <w:t xml:space="preserve">Use:</w:t>
      </w:r>
      <w:r>
        <w:t xml:space="preserve"> </w:t>
      </w:r>
      <w:r>
        <w:t xml:space="preserve">Theological application: communion has communal and practical scope rather than isolated absorption into an absolute.</w:t>
      </w:r>
      <w:r>
        <w:t xml:space="preserve"> </w:t>
      </w:r>
      <w:r>
        <w:rPr>
          <w:b/>
          <w:bCs/>
        </w:rPr>
        <w:t xml:space="preserve">Limit:</w:t>
      </w:r>
      <w:r>
        <w:t xml:space="preserve"> </w:t>
      </w:r>
      <w:r>
        <w:t xml:space="preserve">Not an independent metaphysical bridge to divine simplicity, freedom, or knowledge without learning from effects.</w:t>
      </w:r>
    </w:p>
    <w:p>
      <w:pPr>
        <w:pStyle w:val="BodyText"/>
      </w:pPr>
      <w:hyperlink r:id="rId107">
        <w:r>
          <w:rPr>
            <w:rStyle w:val="Hyperlink"/>
          </w:rPr>
          <w:t xml:space="preserve">Reading / orientation address</w:t>
        </w:r>
      </w:hyperlink>
      <w:r>
        <w:t xml:space="preserve"> </w:t>
      </w:r>
      <w:r>
        <w:t xml:space="preserve">·</w:t>
      </w:r>
      <w:r>
        <w:t xml:space="preserve"> </w:t>
      </w:r>
      <w:hyperlink r:id="rId108">
        <w:r>
          <w:rPr>
            <w:rStyle w:val="Hyperlink"/>
          </w:rPr>
          <w:t xml:space="preserve">Consulted transcript / earlier witness</w:t>
        </w:r>
      </w:hyperlink>
      <w:r>
        <w:t xml:space="preserve">. Official reading address; access was blocked in this consultation.</w:t>
      </w:r>
    </w:p>
    <w:bookmarkEnd w:id="344"/>
    <w:bookmarkStart w:id="345" w:name="X81d121bbf437e9570a634872676d0dc4c98d755"/>
    <w:p>
      <w:pPr>
        <w:pStyle w:val="Heading4"/>
      </w:pPr>
      <w:r>
        <w:t xml:space="preserve">RX-PERSON · Joseph Ratzinger,</w:t>
      </w:r>
      <w:r>
        <w:t xml:space="preserve"> </w:t>
      </w:r>
      <w:r>
        <w:rPr>
          <w:i/>
          <w:iCs/>
        </w:rPr>
        <w:t xml:space="preserve">Concerning the Notion of Person in Theology</w:t>
      </w:r>
    </w:p>
    <w:p>
      <w:pPr>
        <w:pStyle w:val="FirstParagraph"/>
      </w:pPr>
      <w:r>
        <w:rPr>
          <w:b/>
          <w:bCs/>
        </w:rPr>
        <w:t xml:space="preserve">Locus:</w:t>
      </w:r>
      <w:r>
        <w:t xml:space="preserve"> </w:t>
      </w:r>
      <w:r>
        <w:t xml:space="preserve">Communio 17 (1990), 439–454.</w:t>
      </w:r>
      <w:r>
        <w:t xml:space="preserve"> </w:t>
      </w:r>
      <w:r>
        <w:rPr>
          <w:b/>
          <w:bCs/>
        </w:rPr>
        <w:t xml:space="preserve">Status:</w:t>
      </w:r>
      <w:r>
        <w:t xml:space="preserve"> </w:t>
      </w:r>
      <w:r>
        <w:t xml:space="preserve">unconsulted-primary-lead</w:t>
      </w:r>
    </w:p>
    <w:p>
      <w:pPr>
        <w:pStyle w:val="BodyText"/>
      </w:pPr>
      <w:r>
        <w:rPr>
          <w:b/>
          <w:bCs/>
        </w:rPr>
        <w:t xml:space="preserve">Edition / witness:</w:t>
      </w:r>
      <w:r>
        <w:t xml:space="preserve"> </w:t>
      </w:r>
      <w:r>
        <w:t xml:space="preserve">Bibliographic lead only; publisher endpoint inaccessible.</w:t>
      </w:r>
    </w:p>
    <w:p>
      <w:pPr>
        <w:pStyle w:val="BodyText"/>
      </w:pPr>
      <w:r>
        <w:rPr>
          <w:b/>
          <w:bCs/>
        </w:rPr>
        <w:t xml:space="preserve">Use:</w:t>
      </w:r>
      <w:r>
        <w:t xml:space="preserve"> </w:t>
      </w:r>
      <w:r>
        <w:t xml:space="preserve">Nothing independently established by this research pass.</w:t>
      </w:r>
      <w:r>
        <w:t xml:space="preserve"> </w:t>
      </w:r>
      <w:r>
        <w:rPr>
          <w:b/>
          <w:bCs/>
        </w:rPr>
        <w:t xml:space="preserve">Limit:</w:t>
      </w:r>
      <w:r>
        <w:t xml:space="preserve"> </w:t>
      </w:r>
      <w:r>
        <w:t xml:space="preserve">Do not quote or attribute detailed technical arguments to this unconsulted essay; landing URL itself could not be verified against publisher output.</w:t>
      </w:r>
    </w:p>
    <w:p>
      <w:pPr>
        <w:pStyle w:val="BodyText"/>
      </w:pPr>
      <w:hyperlink r:id="rId110">
        <w:r>
          <w:rPr>
            <w:rStyle w:val="Hyperlink"/>
          </w:rPr>
          <w:t xml:space="preserve">Reading / orientation address</w:t>
        </w:r>
      </w:hyperlink>
      <w:r>
        <w:t xml:space="preserve">. Unverified publisher lead.</w:t>
      </w:r>
    </w:p>
    <w:bookmarkEnd w:id="345"/>
    <w:bookmarkEnd w:id="346"/>
    <w:bookmarkStart w:id="354" w:name="earlier-page-primary-controls"/>
    <w:p>
      <w:pPr>
        <w:pStyle w:val="Heading3"/>
      </w:pPr>
      <w:r>
        <w:t xml:space="preserve">Earlier-page primary controls</w:t>
      </w:r>
    </w:p>
    <w:bookmarkStart w:id="347" w:name="rd-aq-c-thomas-aquinas-summa-theologiae"/>
    <w:p>
      <w:pPr>
        <w:pStyle w:val="Heading4"/>
      </w:pPr>
      <w:r>
        <w:t xml:space="preserve">RD-AQ-C · Thomas Aquinas,</w:t>
      </w:r>
      <w:r>
        <w:t xml:space="preserve"> </w:t>
      </w:r>
      <w:r>
        <w:rPr>
          <w:i/>
          <w:iCs/>
        </w:rPr>
        <w:t xml:space="preserve">Summa theologiae</w:t>
      </w:r>
    </w:p>
    <w:p>
      <w:pPr>
        <w:pStyle w:val="FirstParagraph"/>
      </w:pPr>
      <w:r>
        <w:rPr>
          <w:b/>
          <w:bCs/>
        </w:rPr>
        <w:t xml:space="preserve">Locus:</w:t>
      </w:r>
      <w:r>
        <w:t xml:space="preserve"> </w:t>
      </w:r>
      <w:r>
        <w:t xml:space="preserve">I, q. 3, a. 7, respondeo.</w:t>
      </w:r>
      <w:r>
        <w:t xml:space="preserve"> </w:t>
      </w:r>
      <w:r>
        <w:rPr>
          <w:b/>
          <w:bCs/>
        </w:rPr>
        <w:t xml:space="preserve">Status:</w:t>
      </w:r>
      <w:r>
        <w:t xml:space="preserve"> </w:t>
      </w:r>
      <w:r>
        <w:t xml:space="preserve">Inherited directly consulted primary translation from Participation and Beyond Participation; not newly collated for page III.</w:t>
      </w:r>
    </w:p>
    <w:p>
      <w:pPr>
        <w:pStyle w:val="BodyText"/>
      </w:pPr>
      <w:r>
        <w:rPr>
          <w:b/>
          <w:bCs/>
        </w:rPr>
        <w:t xml:space="preserve">Edition / witness:</w:t>
      </w:r>
      <w:r>
        <w:t xml:space="preserve"> </w:t>
      </w:r>
      <w:r>
        <w:t xml:space="preserve">English Dominican Fathers, Complete American Edition; Gutenberg #17611 witness. New Advent is a public reading address.</w:t>
      </w:r>
    </w:p>
    <w:p>
      <w:pPr>
        <w:pStyle w:val="BodyText"/>
      </w:pPr>
      <w:r>
        <w:rPr>
          <w:b/>
          <w:bCs/>
        </w:rPr>
        <w:t xml:space="preserve">Use:</w:t>
      </w:r>
      <w:r>
        <w:t xml:space="preserve"> </w:t>
      </w:r>
      <w:r>
        <w:t xml:space="preserve">A historical resource for the argument from dependence on constituents; different concepts do not by themselves establish proper parts.</w:t>
      </w:r>
      <w:r>
        <w:t xml:space="preserve"> </w:t>
      </w:r>
      <w:r>
        <w:rPr>
          <w:b/>
          <w:bCs/>
        </w:rPr>
        <w:t xml:space="preserve">Limit:</w:t>
      </w:r>
      <w:r>
        <w:t xml:space="preserve"> </w:t>
      </w:r>
      <w:r>
        <w:t xml:space="preserve">Efficient uncausedness alone does not prove full simplicity. The modern KD reconstruction is not Aquinas’s complete argument.</w:t>
      </w:r>
    </w:p>
    <w:p>
      <w:pPr>
        <w:pStyle w:val="BodyText"/>
      </w:pPr>
      <w:hyperlink r:id="rId112">
        <w:r>
          <w:rPr>
            <w:rStyle w:val="Hyperlink"/>
          </w:rPr>
          <w:t xml:space="preserve">Reading / orientation address</w:t>
        </w:r>
      </w:hyperlink>
      <w:r>
        <w:t xml:space="preserve"> </w:t>
      </w:r>
      <w:r>
        <w:t xml:space="preserve">·</w:t>
      </w:r>
      <w:r>
        <w:t xml:space="preserve"> </w:t>
      </w:r>
      <w:hyperlink r:id="rId113">
        <w:r>
          <w:rPr>
            <w:rStyle w:val="Hyperlink"/>
          </w:rPr>
          <w:t xml:space="preserve">Consulted transcript / earlier witness</w:t>
        </w:r>
      </w:hyperlink>
      <w:r>
        <w:t xml:space="preserve">.</w:t>
      </w:r>
    </w:p>
    <w:bookmarkEnd w:id="347"/>
    <w:bookmarkStart w:id="348" w:name="rd-aq-k-thomas-aquinas-summa-theologiae"/>
    <w:p>
      <w:pPr>
        <w:pStyle w:val="Heading4"/>
      </w:pPr>
      <w:r>
        <w:t xml:space="preserve">RD-AQ-K · Thomas Aquinas,</w:t>
      </w:r>
      <w:r>
        <w:t xml:space="preserve"> </w:t>
      </w:r>
      <w:r>
        <w:rPr>
          <w:i/>
          <w:iCs/>
        </w:rPr>
        <w:t xml:space="preserve">Summa theologiae</w:t>
      </w:r>
    </w:p>
    <w:p>
      <w:pPr>
        <w:pStyle w:val="FirstParagraph"/>
      </w:pPr>
      <w:r>
        <w:rPr>
          <w:b/>
          <w:bCs/>
        </w:rPr>
        <w:t xml:space="preserve">Locus:</w:t>
      </w:r>
      <w:r>
        <w:t xml:space="preserve"> </w:t>
      </w:r>
      <w:r>
        <w:t xml:space="preserve">I, q. 14, aa. 5, 8–9; especially a. 8, respondeo and ad 1/ad 3.</w:t>
      </w:r>
      <w:r>
        <w:t xml:space="preserve"> </w:t>
      </w:r>
      <w:r>
        <w:rPr>
          <w:b/>
          <w:bCs/>
        </w:rPr>
        <w:t xml:space="preserve">Status:</w:t>
      </w:r>
      <w:r>
        <w:t xml:space="preserve"> </w:t>
      </w:r>
      <w:r>
        <w:t xml:space="preserve">Inherited direct consultation of aa. 5 and 8 in Beyond Participation; a. 9 inherited from manuscript register N11, not freshly checked here.</w:t>
      </w:r>
    </w:p>
    <w:p>
      <w:pPr>
        <w:pStyle w:val="BodyText"/>
      </w:pPr>
      <w:r>
        <w:rPr>
          <w:b/>
          <w:bCs/>
        </w:rPr>
        <w:t xml:space="preserve">Edition / witness:</w:t>
      </w:r>
      <w:r>
        <w:t xml:space="preserve"> </w:t>
      </w:r>
      <w:r>
        <w:t xml:space="preserve">English Dominican Fathers translation; Gutenberg #17611 and inherited manuscript source register.</w:t>
      </w:r>
    </w:p>
    <w:p>
      <w:pPr>
        <w:pStyle w:val="BodyText"/>
      </w:pPr>
      <w:r>
        <w:rPr>
          <w:b/>
          <w:bCs/>
        </w:rPr>
        <w:t xml:space="preserve">Use:</w:t>
      </w:r>
      <w:r>
        <w:t xml:space="preserve"> </w:t>
      </w:r>
      <w:r>
        <w:t xml:space="preserve">Choice, knowledge through causing, and knowledge of possibilities need distinct explanations.</w:t>
      </w:r>
      <w:r>
        <w:t xml:space="preserve"> </w:t>
      </w:r>
      <w:r>
        <w:rPr>
          <w:b/>
          <w:bCs/>
        </w:rPr>
        <w:t xml:space="preserve">Limit:</w:t>
      </w:r>
      <w:r>
        <w:t xml:space="preserve"> </w:t>
      </w:r>
      <w:r>
        <w:t xml:space="preserve">Does not independently establish God’s existence, unrestricted cognitive perfection, knowledge of a particular actual choice, or knowledge of every permitted creaturely act.</w:t>
      </w:r>
    </w:p>
    <w:p>
      <w:pPr>
        <w:pStyle w:val="BodyText"/>
      </w:pPr>
      <w:hyperlink r:id="rId115">
        <w:r>
          <w:rPr>
            <w:rStyle w:val="Hyperlink"/>
          </w:rPr>
          <w:t xml:space="preserve">Reading / orientation address</w:t>
        </w:r>
      </w:hyperlink>
      <w:r>
        <w:t xml:space="preserve"> </w:t>
      </w:r>
      <w:r>
        <w:t xml:space="preserve">·</w:t>
      </w:r>
      <w:r>
        <w:t xml:space="preserve"> </w:t>
      </w:r>
      <w:hyperlink r:id="rId113">
        <w:r>
          <w:rPr>
            <w:rStyle w:val="Hyperlink"/>
          </w:rPr>
          <w:t xml:space="preserve">Consulted transcript / earlier witness</w:t>
        </w:r>
      </w:hyperlink>
      <w:r>
        <w:t xml:space="preserve">.</w:t>
      </w:r>
    </w:p>
    <w:bookmarkEnd w:id="348"/>
    <w:bookmarkStart w:id="349" w:name="rd-aq-w-thomas-aquinas-summa-theologiae"/>
    <w:p>
      <w:pPr>
        <w:pStyle w:val="Heading4"/>
      </w:pPr>
      <w:r>
        <w:t xml:space="preserve">RD-AQ-W · Thomas Aquinas,</w:t>
      </w:r>
      <w:r>
        <w:t xml:space="preserve"> </w:t>
      </w:r>
      <w:r>
        <w:rPr>
          <w:i/>
          <w:iCs/>
        </w:rPr>
        <w:t xml:space="preserve">Summa theologiae</w:t>
      </w:r>
    </w:p>
    <w:p>
      <w:pPr>
        <w:pStyle w:val="FirstParagraph"/>
      </w:pPr>
      <w:r>
        <w:rPr>
          <w:b/>
          <w:bCs/>
        </w:rPr>
        <w:t xml:space="preserve">Locus:</w:t>
      </w:r>
      <w:r>
        <w:t xml:space="preserve"> </w:t>
      </w:r>
      <w:r>
        <w:t xml:space="preserve">I, q. 19, aa. 2–3; a. 3, respondeo and ad 5.</w:t>
      </w:r>
      <w:r>
        <w:t xml:space="preserve"> </w:t>
      </w:r>
      <w:r>
        <w:rPr>
          <w:b/>
          <w:bCs/>
        </w:rPr>
        <w:t xml:space="preserve">Status:</w:t>
      </w:r>
      <w:r>
        <w:t xml:space="preserve"> </w:t>
      </w:r>
      <w:r>
        <w:t xml:space="preserve">Inherited directly consulted primary translation from Beyond Participation; no new critical collation for page III.</w:t>
      </w:r>
    </w:p>
    <w:p>
      <w:pPr>
        <w:pStyle w:val="BodyText"/>
      </w:pPr>
      <w:r>
        <w:rPr>
          <w:b/>
          <w:bCs/>
        </w:rPr>
        <w:t xml:space="preserve">Edition / witness:</w:t>
      </w:r>
      <w:r>
        <w:t xml:space="preserve"> </w:t>
      </w:r>
      <w:r>
        <w:t xml:space="preserve">English Dominican Fathers translation; Gutenberg #17611 witness.</w:t>
      </w:r>
    </w:p>
    <w:p>
      <w:pPr>
        <w:pStyle w:val="BodyText"/>
      </w:pPr>
      <w:r>
        <w:rPr>
          <w:b/>
          <w:bCs/>
        </w:rPr>
        <w:t xml:space="preserve">Use:</w:t>
      </w:r>
      <w:r>
        <w:t xml:space="preserve"> </w:t>
      </w:r>
      <w:r>
        <w:t xml:space="preserve">A rational-voluntary resource for contingent communication; distinguishes necessity by supposition from absolute necessity.</w:t>
      </w:r>
      <w:r>
        <w:t xml:space="preserve"> </w:t>
      </w:r>
      <w:r>
        <w:rPr>
          <w:b/>
          <w:bCs/>
        </w:rPr>
        <w:t xml:space="preserve">Limit:</w:t>
      </w:r>
      <w:r>
        <w:t xml:space="preserve"> </w:t>
      </w:r>
      <w:r>
        <w:t xml:space="preserve">The account of reasons, purposes, and agency still needs defense. Neither non-exhaustion alone nor this quotation settles whether God remains intrinsically the same across alternative creations.</w:t>
      </w:r>
    </w:p>
    <w:p>
      <w:pPr>
        <w:pStyle w:val="BodyText"/>
      </w:pPr>
      <w:hyperlink r:id="rId45">
        <w:r>
          <w:rPr>
            <w:rStyle w:val="Hyperlink"/>
          </w:rPr>
          <w:t xml:space="preserve">Reading / orientation address</w:t>
        </w:r>
      </w:hyperlink>
      <w:r>
        <w:t xml:space="preserve"> </w:t>
      </w:r>
      <w:r>
        <w:t xml:space="preserve">·</w:t>
      </w:r>
      <w:r>
        <w:t xml:space="preserve"> </w:t>
      </w:r>
      <w:hyperlink r:id="rId113">
        <w:r>
          <w:rPr>
            <w:rStyle w:val="Hyperlink"/>
          </w:rPr>
          <w:t xml:space="preserve">Consulted transcript / earlier witness</w:t>
        </w:r>
      </w:hyperlink>
      <w:r>
        <w:t xml:space="preserve">.</w:t>
      </w:r>
    </w:p>
    <w:bookmarkEnd w:id="349"/>
    <w:bookmarkStart w:id="350" w:name="rd-aq-r-thomas-aquinas-summa-theologiae"/>
    <w:p>
      <w:pPr>
        <w:pStyle w:val="Heading4"/>
      </w:pPr>
      <w:r>
        <w:t xml:space="preserve">RD-AQ-R · Thomas Aquinas,</w:t>
      </w:r>
      <w:r>
        <w:t xml:space="preserve"> </w:t>
      </w:r>
      <w:r>
        <w:rPr>
          <w:i/>
          <w:iCs/>
        </w:rPr>
        <w:t xml:space="preserve">Summa theologiae</w:t>
      </w:r>
    </w:p>
    <w:p>
      <w:pPr>
        <w:pStyle w:val="FirstParagraph"/>
      </w:pPr>
      <w:r>
        <w:rPr>
          <w:b/>
          <w:bCs/>
        </w:rPr>
        <w:t xml:space="preserve">Locus:</w:t>
      </w:r>
      <w:r>
        <w:t xml:space="preserve"> </w:t>
      </w:r>
      <w:r>
        <w:t xml:space="preserve">I, q. 45, a. 3; especially ad 1.</w:t>
      </w:r>
      <w:r>
        <w:t xml:space="preserve"> </w:t>
      </w:r>
      <w:r>
        <w:rPr>
          <w:b/>
          <w:bCs/>
        </w:rPr>
        <w:t xml:space="preserve">Status:</w:t>
      </w:r>
      <w:r>
        <w:t xml:space="preserve"> </w:t>
      </w:r>
      <w:r>
        <w:t xml:space="preserve">Inherited manuscript source register N11; translation check reported there, not repeated for page III.</w:t>
      </w:r>
    </w:p>
    <w:p>
      <w:pPr>
        <w:pStyle w:val="BodyText"/>
      </w:pPr>
      <w:r>
        <w:rPr>
          <w:b/>
          <w:bCs/>
        </w:rPr>
        <w:t xml:space="preserve">Edition / witness:</w:t>
      </w:r>
      <w:r>
        <w:t xml:space="preserve"> </w:t>
      </w:r>
      <w:r>
        <w:t xml:space="preserve">English Dominican Fathers translation, New Advent/CCEL as reported in the inherited manuscript register.</w:t>
      </w:r>
    </w:p>
    <w:p>
      <w:pPr>
        <w:pStyle w:val="BodyText"/>
      </w:pPr>
      <w:r>
        <w:rPr>
          <w:b/>
          <w:bCs/>
        </w:rPr>
        <w:t xml:space="preserve">Use:</w:t>
      </w:r>
      <w:r>
        <w:t xml:space="preserve"> </w:t>
      </w:r>
      <w:r>
        <w:t xml:space="preserve">A classical source for distinguishing divine action in relation to creatures from creatures’ real dependence on God.</w:t>
      </w:r>
      <w:r>
        <w:t xml:space="preserve"> </w:t>
      </w:r>
      <w:r>
        <w:rPr>
          <w:b/>
          <w:bCs/>
        </w:rPr>
        <w:t xml:space="preserve">Limit:</w:t>
      </w:r>
      <w:r>
        <w:t xml:space="preserve"> </w:t>
      </w:r>
      <w:r>
        <w:t xml:space="preserve">Creation understood as a relation does not by itself explain free intentional choice, control, or justified knowledge. This account does not establish the Trinity or the Incarnation.</w:t>
      </w:r>
    </w:p>
    <w:p>
      <w:pPr>
        <w:pStyle w:val="BodyText"/>
      </w:pPr>
      <w:hyperlink r:id="rId118">
        <w:r>
          <w:rPr>
            <w:rStyle w:val="Hyperlink"/>
          </w:rPr>
          <w:t xml:space="preserve">Reading / orientation address</w:t>
        </w:r>
      </w:hyperlink>
      <w:r>
        <w:t xml:space="preserve">.</w:t>
      </w:r>
    </w:p>
    <w:bookmarkEnd w:id="350"/>
    <w:bookmarkStart w:id="351" w:name="rd-au-fin-augustine-confessions"/>
    <w:p>
      <w:pPr>
        <w:pStyle w:val="Heading4"/>
      </w:pPr>
      <w:r>
        <w:t xml:space="preserve">RD-AU-FIN · Augustine,</w:t>
      </w:r>
      <w:r>
        <w:t xml:space="preserve"> </w:t>
      </w:r>
      <w:r>
        <w:rPr>
          <w:i/>
          <w:iCs/>
        </w:rPr>
        <w:t xml:space="preserve">Confessions</w:t>
      </w:r>
    </w:p>
    <w:p>
      <w:pPr>
        <w:pStyle w:val="FirstParagraph"/>
      </w:pPr>
      <w:r>
        <w:rPr>
          <w:b/>
          <w:bCs/>
        </w:rPr>
        <w:t xml:space="preserve">Locus:</w:t>
      </w:r>
      <w:r>
        <w:t xml:space="preserve"> </w:t>
      </w:r>
      <w:r>
        <w:t xml:space="preserve">IV.10.15.</w:t>
      </w:r>
      <w:r>
        <w:t xml:space="preserve"> </w:t>
      </w:r>
      <w:r>
        <w:rPr>
          <w:b/>
          <w:bCs/>
        </w:rPr>
        <w:t xml:space="preserve">Status:</w:t>
      </w:r>
      <w:r>
        <w:t xml:space="preserve"> </w:t>
      </w:r>
      <w:r>
        <w:t xml:space="preserve">Inherited manuscript primary quotation, register N5; not freshly consulted for page III.</w:t>
      </w:r>
    </w:p>
    <w:p>
      <w:pPr>
        <w:pStyle w:val="BodyText"/>
      </w:pPr>
      <w:r>
        <w:rPr>
          <w:b/>
          <w:bCs/>
        </w:rPr>
        <w:t xml:space="preserve">Edition / witness:</w:t>
      </w:r>
      <w:r>
        <w:t xml:space="preserve"> </w:t>
      </w:r>
      <w:r>
        <w:t xml:space="preserve">J. G. Pilkington translation, NPNF first series I (1887); inherited structural locus.</w:t>
      </w:r>
    </w:p>
    <w:p>
      <w:pPr>
        <w:pStyle w:val="BodyText"/>
      </w:pPr>
      <w:r>
        <w:rPr>
          <w:b/>
          <w:bCs/>
        </w:rPr>
        <w:t xml:space="preserve">Use:</w:t>
      </w:r>
      <w:r>
        <w:t xml:space="preserve"> </w:t>
      </w:r>
      <w:r>
        <w:t xml:space="preserve">A historical illustration of how temporal succession can contribute to an achieved whole.</w:t>
      </w:r>
      <w:r>
        <w:t xml:space="preserve"> </w:t>
      </w:r>
      <w:r>
        <w:rPr>
          <w:b/>
          <w:bCs/>
        </w:rPr>
        <w:t xml:space="preserve">Limit:</w:t>
      </w:r>
      <w:r>
        <w:t xml:space="preserve"> </w:t>
      </w:r>
      <w:r>
        <w:t xml:space="preserve">The claim that finite conditions partly constitute some goods is the project’s constructive extension. This passage does not show that every loss or suffering is beneficial.</w:t>
      </w:r>
    </w:p>
    <w:p>
      <w:pPr>
        <w:pStyle w:val="BodyText"/>
      </w:pPr>
      <w:hyperlink r:id="rId120">
        <w:r>
          <w:rPr>
            <w:rStyle w:val="Hyperlink"/>
          </w:rPr>
          <w:t xml:space="preserve">Reading / orientation address</w:t>
        </w:r>
      </w:hyperlink>
      <w:r>
        <w:t xml:space="preserve">.</w:t>
      </w:r>
    </w:p>
    <w:bookmarkEnd w:id="351"/>
    <w:bookmarkStart w:id="352" w:name="Xbb454fe9bfcbc4e371cf166af50022b8f65c9d0"/>
    <w:p>
      <w:pPr>
        <w:pStyle w:val="Heading4"/>
      </w:pPr>
      <w:r>
        <w:t xml:space="preserve">RD-AU-IDEAS · Augustine,</w:t>
      </w:r>
      <w:r>
        <w:t xml:space="preserve"> </w:t>
      </w:r>
      <w:r>
        <w:rPr>
          <w:i/>
          <w:iCs/>
        </w:rPr>
        <w:t xml:space="preserve">De diversis quaestionibus octoginta tribus (Eighty-three Different Questions)</w:t>
      </w:r>
    </w:p>
    <w:p>
      <w:pPr>
        <w:pStyle w:val="FirstParagraph"/>
      </w:pPr>
      <w:r>
        <w:rPr>
          <w:b/>
          <w:bCs/>
        </w:rPr>
        <w:t xml:space="preserve">Locus:</w:t>
      </w:r>
      <w:r>
        <w:t xml:space="preserve"> </w:t>
      </w:r>
      <w:r>
        <w:t xml:space="preserve">q. 46, especially §§1–2, De ideis.</w:t>
      </w:r>
      <w:r>
        <w:t xml:space="preserve"> </w:t>
      </w:r>
      <w:r>
        <w:rPr>
          <w:b/>
          <w:bCs/>
        </w:rPr>
        <w:t xml:space="preserve">Status:</w:t>
      </w:r>
      <w:r>
        <w:t xml:space="preserve"> </w:t>
      </w:r>
      <w:r>
        <w:t xml:space="preserve">Inherited primary bibliographic lead from Participation; q. 46 was not directly consulted in the website research and is not freshly verified here.</w:t>
      </w:r>
    </w:p>
    <w:p>
      <w:pPr>
        <w:pStyle w:val="BodyText"/>
      </w:pPr>
      <w:r>
        <w:rPr>
          <w:b/>
          <w:bCs/>
        </w:rPr>
        <w:t xml:space="preserve">Edition / witness:</w:t>
      </w:r>
      <w:r>
        <w:t xml:space="preserve"> </w:t>
      </w:r>
      <w:r>
        <w:t xml:space="preserve">No primary critical-edition collation performed in this research pass.</w:t>
      </w:r>
    </w:p>
    <w:p>
      <w:pPr>
        <w:pStyle w:val="BodyText"/>
      </w:pPr>
      <w:r>
        <w:rPr>
          <w:b/>
          <w:bCs/>
        </w:rPr>
        <w:t xml:space="preserve">Use:</w:t>
      </w:r>
      <w:r>
        <w:t xml:space="preserve"> </w:t>
      </w:r>
      <w:r>
        <w:t xml:space="preserve">Nothing independently established by this unconsulted primary lead; the broader exemplar account has other consulted witnesses.</w:t>
      </w:r>
      <w:r>
        <w:t xml:space="preserve"> </w:t>
      </w:r>
      <w:r>
        <w:rPr>
          <w:b/>
          <w:bCs/>
        </w:rPr>
        <w:t xml:space="preserve">Limit:</w:t>
      </w:r>
      <w:r>
        <w:t xml:space="preserve"> </w:t>
      </w:r>
      <w:r>
        <w:t xml:space="preserve">Do not treat the link as a primary witness or quote this question as newly verified. Exemplar intelligibility still differs from actual creative selection.</w:t>
      </w:r>
    </w:p>
    <w:p>
      <w:pPr>
        <w:pStyle w:val="BodyText"/>
      </w:pPr>
      <w:hyperlink r:id="rId122">
        <w:r>
          <w:rPr>
            <w:rStyle w:val="Hyperlink"/>
          </w:rPr>
          <w:t xml:space="preserve">Reading / orientation address</w:t>
        </w:r>
      </w:hyperlink>
      <w:r>
        <w:t xml:space="preserve">. Specialist orientation; exact primary locus supplied as an unconsulted lead.</w:t>
      </w:r>
    </w:p>
    <w:bookmarkEnd w:id="352"/>
    <w:bookmarkStart w:id="353" w:name="X7d7ec7541e9bd0f4b1e4d8c5cfd4866ce646179"/>
    <w:p>
      <w:pPr>
        <w:pStyle w:val="Heading4"/>
      </w:pPr>
      <w:r>
        <w:t xml:space="preserve">RD-NW · John Henry Newman,</w:t>
      </w:r>
      <w:r>
        <w:t xml:space="preserve"> </w:t>
      </w:r>
      <w:r>
        <w:rPr>
          <w:i/>
          <w:iCs/>
        </w:rPr>
        <w:t xml:space="preserve">An Essay on the Development of Christian Doctrine</w:t>
      </w:r>
    </w:p>
    <w:p>
      <w:pPr>
        <w:pStyle w:val="FirstParagraph"/>
      </w:pPr>
      <w:r>
        <w:rPr>
          <w:b/>
          <w:bCs/>
        </w:rPr>
        <w:t xml:space="preserve">Locus:</w:t>
      </w:r>
      <w:r>
        <w:t xml:space="preserve"> </w:t>
      </w:r>
      <w:r>
        <w:t xml:space="preserve">Part II, chapter V, §§I–VII; opening §4 on varying cogency, independence, and applicability.</w:t>
      </w:r>
      <w:r>
        <w:t xml:space="preserve"> </w:t>
      </w:r>
      <w:r>
        <w:rPr>
          <w:b/>
          <w:bCs/>
        </w:rPr>
        <w:t xml:space="preserve">Status:</w:t>
      </w:r>
      <w:r>
        <w:t xml:space="preserve"> </w:t>
      </w:r>
      <w:r>
        <w:t xml:space="preserve">Inherited directly consulted primary witness from Participation; no new edition collation for page III.</w:t>
      </w:r>
    </w:p>
    <w:p>
      <w:pPr>
        <w:pStyle w:val="BodyText"/>
      </w:pPr>
      <w:r>
        <w:rPr>
          <w:b/>
          <w:bCs/>
        </w:rPr>
        <w:t xml:space="preserve">Edition / witness:</w:t>
      </w:r>
      <w:r>
        <w:t xml:space="preserve"> </w:t>
      </w:r>
      <w:r>
        <w:t xml:space="preserve">Project Gutenberg #35110 / GITenberg transcription.</w:t>
      </w:r>
    </w:p>
    <w:p>
      <w:pPr>
        <w:pStyle w:val="BodyText"/>
      </w:pPr>
      <w:r>
        <w:rPr>
          <w:b/>
          <w:bCs/>
        </w:rPr>
        <w:t xml:space="preserve">Use:</w:t>
      </w:r>
      <w:r>
        <w:t xml:space="preserve"> </w:t>
      </w:r>
      <w:r>
        <w:t xml:space="preserve">An analogical discipline for constructive synthesis that conserves principles and prior achievements while clarifying tensions.</w:t>
      </w:r>
      <w:r>
        <w:t xml:space="preserve"> </w:t>
      </w:r>
      <w:r>
        <w:rPr>
          <w:b/>
          <w:bCs/>
        </w:rPr>
        <w:t xml:space="preserve">Limit:</w:t>
      </w:r>
      <w:r>
        <w:t xml:space="preserve"> </w:t>
      </w:r>
      <w:r>
        <w:t xml:space="preserve">Not an ecclesial certification, proof of new metaphysical premises, or license to harmonize contradiction. A new page cannot already demonstrate chronic historical vigour.</w:t>
      </w:r>
    </w:p>
    <w:p>
      <w:pPr>
        <w:pStyle w:val="BodyText"/>
      </w:pPr>
      <w:hyperlink r:id="rId124">
        <w:r>
          <w:rPr>
            <w:rStyle w:val="Hyperlink"/>
          </w:rPr>
          <w:t xml:space="preserve">Reading / orientation address</w:t>
        </w:r>
      </w:hyperlink>
      <w:r>
        <w:t xml:space="preserve"> </w:t>
      </w:r>
      <w:r>
        <w:t xml:space="preserve">·</w:t>
      </w:r>
      <w:r>
        <w:t xml:space="preserve"> </w:t>
      </w:r>
      <w:hyperlink r:id="rId125">
        <w:r>
          <w:rPr>
            <w:rStyle w:val="Hyperlink"/>
          </w:rPr>
          <w:t xml:space="preserve">Consulted transcript / earlier witness</w:t>
        </w:r>
      </w:hyperlink>
      <w:r>
        <w:t xml:space="preserve">.</w:t>
      </w:r>
    </w:p>
    <w:bookmarkEnd w:id="353"/>
    <w:bookmarkEnd w:id="354"/>
    <w:bookmarkStart w:id="355" w:name="scope-of-historical-continuity"/>
    <w:p>
      <w:pPr>
        <w:pStyle w:val="Heading3"/>
      </w:pPr>
      <w:r>
        <w:t xml:space="preserve">Scope of historical continuity</w:t>
      </w:r>
    </w:p>
    <w:p>
      <w:pPr>
        <w:pStyle w:val="FirstParagraph"/>
      </w:pPr>
      <w:r>
        <w:t xml:space="preserve">Dionysius supplies recipient-conditioned expression and causal knowledge; Maximus distinguishes intelligible logoi from created realization; Nyssa protects created/uncreated difference and voluntary creaturely action. Bonaventure gives positive fullness and finite proportion. Eriugena contributes a genuine theophanic pressure that cannot be resolved by suppressing his stronger unity language. Nazianzen and Ratzinger give theological controls concerning relation, personal identity, and nonabsorptive communion. Aquinas supplies important action and dependence resources; Augustine and Newman help discriminate finite achievement and legitimate development.</w:t>
      </w:r>
    </w:p>
    <w:p>
      <w:pPr>
        <w:pStyle w:val="BodyText"/>
      </w:pPr>
      <w:r>
        <w:t xml:space="preserve">These contributions remain different. Eternal personal origin is not a creature’s dependence on what constitutes it, free creative action, or an ordinary change of a relative description. Revealed Trinity and Incarnation require their own warrants. Historical continuity supports intelligibility and constructive retrieval; it does not prove intrinsic invariance, free choice, or adequate knowledge without learning from effects. Those remain the page’s independently stated philosophical questions.</w:t>
      </w:r>
    </w:p>
    <w:bookmarkEnd w:id="355"/>
    <w:bookmarkEnd w:id="356"/>
    <w:p>
      <w:pPr>
        <w:pStyle w:val="Heading1"/>
      </w:pPr>
      <w:r>
        <w:t xml:space="preserve">Appendix D — real-difference-ledger.json</w:t>
      </w:r>
    </w:p>
    <w:p>
      <w:pPr>
        <w:pStyle w:val="FirstParagraph"/>
      </w:pPr>
      <w:r>
        <w:t xml:space="preserve">Original research file: https:/​/​participation-​6o4.​pages.​dev/​research/​real-​difference-​ledger.​json</w:t>
      </w:r>
    </w:p>
    <w:p>
      <w:pPr>
        <w:pStyle w:val="Heading2"/>
      </w:pPr>
      <w:r>
        <w:t xml:space="preserve">Complete machine-readable source ledger</w:t>
      </w:r>
    </w:p>
    <w:p>
      <w:pPr>
        <w:pStyle w:val="FirstParagraph"/>
      </w:pPr>
      <w:r>
        <w:t xml:space="preserve">Every field of the downloadable JSON ledger is retained below as readable text. Field names are unchanged; no source record is omitted.</w:t>
      </w:r>
    </w:p>
    <w:p>
      <w:pPr>
        <w:pStyle w:val="Heading3"/>
      </w:pPr>
      <w:r>
        <w:t xml:space="preserve">GN-R — Gregory Nazianzen</w:t>
      </w:r>
    </w:p>
    <w:p>
      <w:pPr>
        <w:pStyle w:val="FirstParagraph"/>
      </w:pPr>
      <w:r>
        <w:rPr>
          <w:b/>
          <w:bCs/>
        </w:rPr>
        <w:t xml:space="preserve">id:</w:t>
      </w:r>
      <w:r>
        <w:t xml:space="preserve"> </w:t>
      </w:r>
      <w:r>
        <w:t xml:space="preserve">GN-R</w:t>
      </w:r>
    </w:p>
    <w:p>
      <w:pPr>
        <w:pStyle w:val="BodyText"/>
      </w:pPr>
      <w:r>
        <w:rPr>
          <w:b/>
          <w:bCs/>
        </w:rPr>
        <w:t xml:space="preserve">author:</w:t>
      </w:r>
      <w:r>
        <w:t xml:space="preserve"> </w:t>
      </w:r>
      <w:r>
        <w:t xml:space="preserve">Gregory Nazianzen</w:t>
      </w:r>
    </w:p>
    <w:p>
      <w:pPr>
        <w:pStyle w:val="BodyText"/>
      </w:pPr>
      <w:r>
        <w:rPr>
          <w:b/>
          <w:bCs/>
        </w:rPr>
        <w:t xml:space="preserve">title:</w:t>
      </w:r>
      <w:r>
        <w:t xml:space="preserve"> </w:t>
      </w:r>
      <w:r>
        <w:t xml:space="preserve">Oration 29 (Third Theological Oration)</w:t>
      </w:r>
    </w:p>
    <w:p>
      <w:pPr>
        <w:pStyle w:val="BodyText"/>
      </w:pPr>
      <w:r>
        <w:rPr>
          <w:b/>
          <w:bCs/>
        </w:rPr>
        <w:t xml:space="preserve">locus:</w:t>
      </w:r>
      <w:r>
        <w:t xml:space="preserve"> </w:t>
      </w:r>
      <w:r>
        <w:t xml:space="preserve">§16; NPNF second series VII, pp. 306–307</w:t>
      </w:r>
    </w:p>
    <w:p>
      <w:pPr>
        <w:pStyle w:val="BodyText"/>
      </w:pPr>
      <w:r>
        <w:rPr>
          <w:b/>
          <w:bCs/>
        </w:rPr>
        <w:t xml:space="preserve">url:</w:t>
      </w:r>
      <w:r>
        <w:t xml:space="preserve"> </w:t>
      </w:r>
      <w:r>
        <w:t xml:space="preserve">https:/​/​ccel.​org/​ccel/​schaff/​npnf207/​npnf207.​iii.​xv.​html</w:t>
      </w:r>
    </w:p>
    <w:p>
      <w:pPr>
        <w:pStyle w:val="BodyText"/>
      </w:pPr>
      <w:r>
        <w:rPr>
          <w:b/>
          <w:bCs/>
        </w:rPr>
        <w:t xml:space="preserve">status:</w:t>
      </w:r>
      <w:r>
        <w:t xml:space="preserve"> </w:t>
      </w:r>
      <w:r>
        <w:t xml:space="preserve">Primary translation directly consulted this page</w:t>
      </w:r>
    </w:p>
    <w:p>
      <w:pPr>
        <w:pStyle w:val="BodyText"/>
      </w:pPr>
      <w:r>
        <w:rPr>
          <w:b/>
          <w:bCs/>
        </w:rPr>
        <w:t xml:space="preserve">edition:</w:t>
      </w:r>
      <w:r>
        <w:t xml:space="preserve"> </w:t>
      </w:r>
      <w:r>
        <w:t xml:space="preserve">Charles Gordon Browne and James Edward Swallow, NPNF second series VII; CCEL transcription; no fresh Greek critical collation</w:t>
      </w:r>
    </w:p>
    <w:p>
      <w:pPr>
        <w:pStyle w:val="BodyText"/>
      </w:pPr>
      <w:r>
        <w:rPr>
          <w:b/>
          <w:bCs/>
        </w:rPr>
        <w:t xml:space="preserve">claim:</w:t>
      </w:r>
      <w:r>
        <w:t xml:space="preserve"> </w:t>
      </w:r>
      <w:r>
        <w:t xml:space="preserve">Father names relation rather than essence or action</w:t>
      </w:r>
    </w:p>
    <w:p>
      <w:pPr>
        <w:pStyle w:val="BodyText"/>
      </w:pPr>
      <w:r>
        <w:rPr>
          <w:b/>
          <w:bCs/>
        </w:rPr>
        <w:t xml:space="preserve">establishes:</w:t>
      </w:r>
      <w:r>
        <w:t xml:space="preserve"> </w:t>
      </w:r>
      <w:r>
        <w:t xml:space="preserve">A category distinction: genuine personal difference need not imply different divine nature or created product</w:t>
      </w:r>
    </w:p>
    <w:p>
      <w:pPr>
        <w:pStyle w:val="BodyText"/>
      </w:pPr>
      <w:r>
        <w:rPr>
          <w:b/>
          <w:bCs/>
        </w:rPr>
        <w:t xml:space="preserve">limit:</w:t>
      </w:r>
      <w:r>
        <w:t xml:space="preserve"> </w:t>
      </w:r>
      <w:r>
        <w:t xml:space="preserve">Eternal personal origin does not establish a relational account of free divine action. The Son is begotten, not created; personal origin must not be equated with created dependence.</w:t>
      </w:r>
    </w:p>
    <w:p>
      <w:pPr>
        <w:pStyle w:val="BodyText"/>
      </w:pPr>
      <w:r>
        <w:rPr>
          <w:b/>
          <w:bCs/>
        </w:rPr>
        <w:t xml:space="preserve">quote:</w:t>
      </w:r>
      <w:r>
        <w:t xml:space="preserve"> </w:t>
      </w:r>
      <w:r>
        <w:t xml:space="preserve">it is the name of the Relation in which the Father stands to the Son, and the Son to the Father.</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direct</w:t>
      </w:r>
    </w:p>
    <w:p>
      <w:pPr>
        <w:pStyle w:val="Heading3"/>
      </w:pPr>
      <w:r>
        <w:t xml:space="preserve">GN-A — Gregory Nazianzen</w:t>
      </w:r>
    </w:p>
    <w:p>
      <w:pPr>
        <w:pStyle w:val="FirstParagraph"/>
      </w:pPr>
      <w:r>
        <w:rPr>
          <w:b/>
          <w:bCs/>
        </w:rPr>
        <w:t xml:space="preserve">id:</w:t>
      </w:r>
      <w:r>
        <w:t xml:space="preserve"> </w:t>
      </w:r>
      <w:r>
        <w:t xml:space="preserve">GN-A</w:t>
      </w:r>
    </w:p>
    <w:p>
      <w:pPr>
        <w:pStyle w:val="BodyText"/>
      </w:pPr>
      <w:r>
        <w:rPr>
          <w:b/>
          <w:bCs/>
        </w:rPr>
        <w:t xml:space="preserve">author:</w:t>
      </w:r>
      <w:r>
        <w:t xml:space="preserve"> </w:t>
      </w:r>
      <w:r>
        <w:t xml:space="preserve">Gregory Nazianzen</w:t>
      </w:r>
    </w:p>
    <w:p>
      <w:pPr>
        <w:pStyle w:val="BodyText"/>
      </w:pPr>
      <w:r>
        <w:rPr>
          <w:b/>
          <w:bCs/>
        </w:rPr>
        <w:t xml:space="preserve">title:</w:t>
      </w:r>
      <w:r>
        <w:t xml:space="preserve"> </w:t>
      </w:r>
      <w:r>
        <w:t xml:space="preserve">Oration 29</w:t>
      </w:r>
    </w:p>
    <w:p>
      <w:pPr>
        <w:pStyle w:val="BodyText"/>
      </w:pPr>
      <w:r>
        <w:rPr>
          <w:b/>
          <w:bCs/>
        </w:rPr>
        <w:t xml:space="preserve">locus:</w:t>
      </w:r>
      <w:r>
        <w:t xml:space="preserve"> </w:t>
      </w:r>
      <w:r>
        <w:t xml:space="preserve">§§6–8</w:t>
      </w:r>
    </w:p>
    <w:p>
      <w:pPr>
        <w:pStyle w:val="BodyText"/>
      </w:pPr>
      <w:r>
        <w:rPr>
          <w:b/>
          <w:bCs/>
        </w:rPr>
        <w:t xml:space="preserve">url:</w:t>
      </w:r>
      <w:r>
        <w:t xml:space="preserve"> </w:t>
      </w:r>
      <w:r>
        <w:t xml:space="preserve">https:/​/​ccel.​org/​ccel/​schaff/​npnf207/​npnf207.​iii.​xv.​html</w:t>
      </w:r>
    </w:p>
    <w:p>
      <w:pPr>
        <w:pStyle w:val="BodyText"/>
      </w:pPr>
      <w:r>
        <w:rPr>
          <w:b/>
          <w:bCs/>
        </w:rPr>
        <w:t xml:space="preserve">status:</w:t>
      </w:r>
      <w:r>
        <w:t xml:space="preserve"> </w:t>
      </w:r>
      <w:r>
        <w:t xml:space="preserve">Primary translation directly consulted this page</w:t>
      </w:r>
    </w:p>
    <w:p>
      <w:pPr>
        <w:pStyle w:val="BodyText"/>
      </w:pPr>
      <w:r>
        <w:rPr>
          <w:b/>
          <w:bCs/>
        </w:rPr>
        <w:t xml:space="preserve">edition:</w:t>
      </w:r>
      <w:r>
        <w:t xml:space="preserve"> </w:t>
      </w:r>
      <w:r>
        <w:t xml:space="preserve">Browne/Swallow, NPNF second series VII; CCEL</w:t>
      </w:r>
    </w:p>
    <w:p>
      <w:pPr>
        <w:pStyle w:val="BodyText"/>
      </w:pPr>
      <w:r>
        <w:rPr>
          <w:b/>
          <w:bCs/>
        </w:rPr>
        <w:t xml:space="preserve">claim:</w:t>
      </w:r>
      <w:r>
        <w:t xml:space="preserve"> </w:t>
      </w:r>
      <w:r>
        <w:t xml:space="preserve">Willing is not an intermediary object replacing the agent; corporeal divisions must not be projected into divine generation</w:t>
      </w:r>
    </w:p>
    <w:p>
      <w:pPr>
        <w:pStyle w:val="BodyText"/>
      </w:pPr>
      <w:r>
        <w:rPr>
          <w:b/>
          <w:bCs/>
        </w:rPr>
        <w:t xml:space="preserve">establishes:</w:t>
      </w:r>
      <w:r>
        <w:t xml:space="preserve"> </w:t>
      </w:r>
      <w:r>
        <w:t xml:space="preserve">A warning against treating willing as an object between God and the act, or confusing generation with creation</w:t>
      </w:r>
    </w:p>
    <w:p>
      <w:pPr>
        <w:pStyle w:val="BodyText"/>
      </w:pPr>
      <w:r>
        <w:rPr>
          <w:b/>
          <w:bCs/>
        </w:rPr>
        <w:t xml:space="preserve">limit:</w:t>
      </w:r>
      <w:r>
        <w:t xml:space="preserve"> </w:t>
      </w:r>
      <w:r>
        <w:t xml:space="preserve">The argument against Eunomius concerns generation, rather than a complete modern account of free creation. Editorial notes are not Gregory’s words.</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direct</w:t>
      </w:r>
    </w:p>
    <w:p>
      <w:pPr>
        <w:pStyle w:val="Heading3"/>
      </w:pPr>
      <w:r>
        <w:t xml:space="preserve">DN-R — Pseudo-Dionysius</w:t>
      </w:r>
    </w:p>
    <w:p>
      <w:pPr>
        <w:pStyle w:val="FirstParagraph"/>
      </w:pPr>
      <w:r>
        <w:rPr>
          <w:b/>
          <w:bCs/>
        </w:rPr>
        <w:t xml:space="preserve">id:</w:t>
      </w:r>
      <w:r>
        <w:t xml:space="preserve"> </w:t>
      </w:r>
      <w:r>
        <w:t xml:space="preserve">DN-R</w:t>
      </w:r>
    </w:p>
    <w:p>
      <w:pPr>
        <w:pStyle w:val="BodyText"/>
      </w:pPr>
      <w:r>
        <w:rPr>
          <w:b/>
          <w:bCs/>
        </w:rPr>
        <w:t xml:space="preserve">author:</w:t>
      </w:r>
      <w:r>
        <w:t xml:space="preserve"> </w:t>
      </w:r>
      <w:r>
        <w:t xml:space="preserve">Pseudo-Dionysius</w:t>
      </w:r>
    </w:p>
    <w:p>
      <w:pPr>
        <w:pStyle w:val="BodyText"/>
      </w:pPr>
      <w:r>
        <w:rPr>
          <w:b/>
          <w:bCs/>
        </w:rPr>
        <w:t xml:space="preserve">title:</w:t>
      </w:r>
      <w:r>
        <w:t xml:space="preserve"> </w:t>
      </w:r>
      <w:r>
        <w:t xml:space="preserve">Divine Names</w:t>
      </w:r>
    </w:p>
    <w:p>
      <w:pPr>
        <w:pStyle w:val="BodyText"/>
      </w:pPr>
      <w:r>
        <w:rPr>
          <w:b/>
          <w:bCs/>
        </w:rPr>
        <w:t xml:space="preserve">locus:</w:t>
      </w:r>
      <w:r>
        <w:t xml:space="preserve"> </w:t>
      </w:r>
      <w:r>
        <w:t xml:space="preserve">II.5; Rolt pp. 71–73</w:t>
      </w:r>
    </w:p>
    <w:p>
      <w:pPr>
        <w:pStyle w:val="BodyText"/>
      </w:pPr>
      <w:r>
        <w:rPr>
          <w:b/>
          <w:bCs/>
        </w:rPr>
        <w:t xml:space="preserve">url:</w:t>
      </w:r>
      <w:r>
        <w:t xml:space="preserve"> </w:t>
      </w:r>
      <w:r>
        <w:t xml:space="preserve">https:/​/​ccel.​org/​ccel/​rolt/​dionysius/​dionysius.​iv.​iii.​html</w:t>
      </w:r>
    </w:p>
    <w:p>
      <w:pPr>
        <w:pStyle w:val="BodyText"/>
      </w:pPr>
      <w:r>
        <w:rPr>
          <w:b/>
          <w:bCs/>
        </w:rPr>
        <w:t xml:space="preserve">status:</w:t>
      </w:r>
      <w:r>
        <w:t xml:space="preserve"> </w:t>
      </w:r>
      <w:r>
        <w:t xml:space="preserve">Primary translation directly consulted this page</w:t>
      </w:r>
    </w:p>
    <w:p>
      <w:pPr>
        <w:pStyle w:val="BodyText"/>
      </w:pPr>
      <w:r>
        <w:rPr>
          <w:b/>
          <w:bCs/>
        </w:rPr>
        <w:t xml:space="preserve">edition:</w:t>
      </w:r>
      <w:r>
        <w:t xml:space="preserve"> </w:t>
      </w:r>
      <w:r>
        <w:t xml:space="preserve">C. E. Rolt (1920), CCEL; older reliable historical translation, not newly collated against Luibheid/Rorem</w:t>
      </w:r>
    </w:p>
    <w:p>
      <w:pPr>
        <w:pStyle w:val="BodyText"/>
      </w:pPr>
      <w:r>
        <w:rPr>
          <w:b/>
          <w:bCs/>
        </w:rPr>
        <w:t xml:space="preserve">claim:</w:t>
      </w:r>
      <w:r>
        <w:t xml:space="preserve"> </w:t>
      </w:r>
      <w:r>
        <w:t xml:space="preserve">Receptor differences can explain different seal impressions without partitioning the archetype</w:t>
      </w:r>
    </w:p>
    <w:p>
      <w:pPr>
        <w:pStyle w:val="BodyText"/>
      </w:pPr>
      <w:r>
        <w:rPr>
          <w:b/>
          <w:bCs/>
        </w:rPr>
        <w:t xml:space="preserve">establishes:</w:t>
      </w:r>
      <w:r>
        <w:t xml:space="preserve"> </w:t>
      </w:r>
      <w:r>
        <w:t xml:space="preserve">Recipient variation does not entail corresponding partition or alteration of source</w:t>
      </w:r>
    </w:p>
    <w:p>
      <w:pPr>
        <w:pStyle w:val="BodyText"/>
      </w:pPr>
      <w:r>
        <w:rPr>
          <w:b/>
          <w:bCs/>
        </w:rPr>
        <w:t xml:space="preserve">limit:</w:t>
      </w:r>
      <w:r>
        <w:t xml:space="preserve"> </w:t>
      </w:r>
      <w:r>
        <w:t xml:space="preserve">A seal has intrinsic pattern; receptor analogy is not a simplicity proof or explanation of free choice; God exceeds the analogy</w:t>
      </w:r>
    </w:p>
    <w:p>
      <w:pPr>
        <w:pStyle w:val="BodyText"/>
      </w:pPr>
      <w:r>
        <w:rPr>
          <w:b/>
          <w:bCs/>
        </w:rPr>
        <w:t xml:space="preserve">quote:</w:t>
      </w:r>
      <w:r>
        <w:t xml:space="preserve"> </w:t>
      </w:r>
      <w:r>
        <w:t xml:space="preserve">the difference of the substances which share it makes the impressions of the one, entire, identical archetype to be different.</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direct</w:t>
      </w:r>
    </w:p>
    <w:p>
      <w:pPr>
        <w:pStyle w:val="Heading3"/>
      </w:pPr>
      <w:r>
        <w:t xml:space="preserve">DN-E — Pseudo-Dionysius</w:t>
      </w:r>
    </w:p>
    <w:p>
      <w:pPr>
        <w:pStyle w:val="FirstParagraph"/>
      </w:pPr>
      <w:r>
        <w:rPr>
          <w:b/>
          <w:bCs/>
        </w:rPr>
        <w:t xml:space="preserve">id:</w:t>
      </w:r>
      <w:r>
        <w:t xml:space="preserve"> </w:t>
      </w:r>
      <w:r>
        <w:t xml:space="preserve">DN-E</w:t>
      </w:r>
    </w:p>
    <w:p>
      <w:pPr>
        <w:pStyle w:val="BodyText"/>
      </w:pPr>
      <w:r>
        <w:rPr>
          <w:b/>
          <w:bCs/>
        </w:rPr>
        <w:t xml:space="preserve">author:</w:t>
      </w:r>
      <w:r>
        <w:t xml:space="preserve"> </w:t>
      </w:r>
      <w:r>
        <w:t xml:space="preserve">Pseudo-Dionysius</w:t>
      </w:r>
    </w:p>
    <w:p>
      <w:pPr>
        <w:pStyle w:val="BodyText"/>
      </w:pPr>
      <w:r>
        <w:rPr>
          <w:b/>
          <w:bCs/>
        </w:rPr>
        <w:t xml:space="preserve">title:</w:t>
      </w:r>
      <w:r>
        <w:t xml:space="preserve"> </w:t>
      </w:r>
      <w:r>
        <w:t xml:space="preserve">Divine Names</w:t>
      </w:r>
    </w:p>
    <w:p>
      <w:pPr>
        <w:pStyle w:val="BodyText"/>
      </w:pPr>
      <w:r>
        <w:rPr>
          <w:b/>
          <w:bCs/>
        </w:rPr>
        <w:t xml:space="preserve">locus:</w:t>
      </w:r>
      <w:r>
        <w:t xml:space="preserve"> </w:t>
      </w:r>
      <w:r>
        <w:t xml:space="preserve">V.8; Rolt pp. 139–141</w:t>
      </w:r>
    </w:p>
    <w:p>
      <w:pPr>
        <w:pStyle w:val="BodyText"/>
      </w:pPr>
      <w:r>
        <w:rPr>
          <w:b/>
          <w:bCs/>
        </w:rPr>
        <w:t xml:space="preserve">url:</w:t>
      </w:r>
      <w:r>
        <w:t xml:space="preserve"> </w:t>
      </w:r>
      <w:r>
        <w:t xml:space="preserve">https:/​/​ccel.​org/​ccel/​rolt/​dionysius/​dionysius.​iv.​vi.​html</w:t>
      </w:r>
    </w:p>
    <w:p>
      <w:pPr>
        <w:pStyle w:val="BodyText"/>
      </w:pPr>
      <w:r>
        <w:rPr>
          <w:b/>
          <w:bCs/>
        </w:rPr>
        <w:t xml:space="preserve">status:</w:t>
      </w:r>
      <w:r>
        <w:t xml:space="preserve"> </w:t>
      </w:r>
      <w:r>
        <w:t xml:space="preserve">Primary translation directly consulted this page</w:t>
      </w:r>
    </w:p>
    <w:p>
      <w:pPr>
        <w:pStyle w:val="BodyText"/>
      </w:pPr>
      <w:r>
        <w:rPr>
          <w:b/>
          <w:bCs/>
        </w:rPr>
        <w:t xml:space="preserve">edition:</w:t>
      </w:r>
      <w:r>
        <w:t xml:space="preserve"> </w:t>
      </w:r>
      <w:r>
        <w:t xml:space="preserve">C. E. Rolt (1920), CCEL; editorial commentary separated</w:t>
      </w:r>
    </w:p>
    <w:p>
      <w:pPr>
        <w:pStyle w:val="BodyText"/>
      </w:pPr>
      <w:r>
        <w:rPr>
          <w:b/>
          <w:bCs/>
        </w:rPr>
        <w:t xml:space="preserve">claim:</w:t>
      </w:r>
      <w:r>
        <w:t xml:space="preserve"> </w:t>
      </w:r>
      <w:r>
        <w:t xml:space="preserve">Exemplars preexist unifiedly and are divine beneficent volitions</w:t>
      </w:r>
    </w:p>
    <w:p>
      <w:pPr>
        <w:pStyle w:val="BodyText"/>
      </w:pPr>
      <w:r>
        <w:rPr>
          <w:b/>
          <w:bCs/>
        </w:rPr>
        <w:t xml:space="preserve">establishes:</w:t>
      </w:r>
      <w:r>
        <w:t xml:space="preserve"> </w:t>
      </w:r>
      <w:r>
        <w:t xml:space="preserve">Positive intelligible differentiation in relation to one source</w:t>
      </w:r>
    </w:p>
    <w:p>
      <w:pPr>
        <w:pStyle w:val="BodyText"/>
      </w:pPr>
      <w:r>
        <w:rPr>
          <w:b/>
          <w:bCs/>
        </w:rPr>
        <w:t xml:space="preserve">limit:</w:t>
      </w:r>
      <w:r>
        <w:t xml:space="preserve"> </w:t>
      </w:r>
      <w:r>
        <w:t xml:space="preserve">Plural exemplars or divine wills do not by themselves prove alternative created outcomes, or establish that divine intentions differ only relationally</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direct</w:t>
      </w:r>
    </w:p>
    <w:p>
      <w:pPr>
        <w:pStyle w:val="Heading3"/>
      </w:pPr>
      <w:r>
        <w:t xml:space="preserve">DN-K — Pseudo-Dionysius</w:t>
      </w:r>
    </w:p>
    <w:p>
      <w:pPr>
        <w:pStyle w:val="FirstParagraph"/>
      </w:pPr>
      <w:r>
        <w:rPr>
          <w:b/>
          <w:bCs/>
        </w:rPr>
        <w:t xml:space="preserve">id:</w:t>
      </w:r>
      <w:r>
        <w:t xml:space="preserve"> </w:t>
      </w:r>
      <w:r>
        <w:t xml:space="preserve">DN-K</w:t>
      </w:r>
    </w:p>
    <w:p>
      <w:pPr>
        <w:pStyle w:val="BodyText"/>
      </w:pPr>
      <w:r>
        <w:rPr>
          <w:b/>
          <w:bCs/>
        </w:rPr>
        <w:t xml:space="preserve">author:</w:t>
      </w:r>
      <w:r>
        <w:t xml:space="preserve"> </w:t>
      </w:r>
      <w:r>
        <w:t xml:space="preserve">Pseudo-Dionysius</w:t>
      </w:r>
    </w:p>
    <w:p>
      <w:pPr>
        <w:pStyle w:val="BodyText"/>
      </w:pPr>
      <w:r>
        <w:rPr>
          <w:b/>
          <w:bCs/>
        </w:rPr>
        <w:t xml:space="preserve">title:</w:t>
      </w:r>
      <w:r>
        <w:t xml:space="preserve"> </w:t>
      </w:r>
      <w:r>
        <w:t xml:space="preserve">Divine Names</w:t>
      </w:r>
    </w:p>
    <w:p>
      <w:pPr>
        <w:pStyle w:val="BodyText"/>
      </w:pPr>
      <w:r>
        <w:rPr>
          <w:b/>
          <w:bCs/>
        </w:rPr>
        <w:t xml:space="preserve">locus:</w:t>
      </w:r>
      <w:r>
        <w:t xml:space="preserve"> </w:t>
      </w:r>
      <w:r>
        <w:t xml:space="preserve">VII.2–3; Rolt pp. 149–153</w:t>
      </w:r>
    </w:p>
    <w:p>
      <w:pPr>
        <w:pStyle w:val="BodyText"/>
      </w:pPr>
      <w:r>
        <w:rPr>
          <w:b/>
          <w:bCs/>
        </w:rPr>
        <w:t xml:space="preserve">url:</w:t>
      </w:r>
      <w:r>
        <w:t xml:space="preserve"> </w:t>
      </w:r>
      <w:r>
        <w:t xml:space="preserve">https:/​/​ccel.​org/​ccel/​rolt/​dionysius/​dionysius.​iv.​viii.​html</w:t>
      </w:r>
    </w:p>
    <w:p>
      <w:pPr>
        <w:pStyle w:val="BodyText"/>
      </w:pPr>
      <w:r>
        <w:rPr>
          <w:b/>
          <w:bCs/>
        </w:rPr>
        <w:t xml:space="preserve">status:</w:t>
      </w:r>
      <w:r>
        <w:t xml:space="preserve"> </w:t>
      </w:r>
      <w:r>
        <w:t xml:space="preserve">Primary translation directly consulted this page</w:t>
      </w:r>
    </w:p>
    <w:p>
      <w:pPr>
        <w:pStyle w:val="BodyText"/>
      </w:pPr>
      <w:r>
        <w:rPr>
          <w:b/>
          <w:bCs/>
        </w:rPr>
        <w:t xml:space="preserve">edition:</w:t>
      </w:r>
      <w:r>
        <w:t xml:space="preserve"> </w:t>
      </w:r>
      <w:r>
        <w:t xml:space="preserve">C. E. Rolt (1920), CCEL; editorial commentary separated</w:t>
      </w:r>
    </w:p>
    <w:p>
      <w:pPr>
        <w:pStyle w:val="BodyText"/>
      </w:pPr>
      <w:r>
        <w:rPr>
          <w:b/>
          <w:bCs/>
        </w:rPr>
        <w:t xml:space="preserve">claim:</w:t>
      </w:r>
      <w:r>
        <w:t xml:space="preserve"> </w:t>
      </w:r>
      <w:r>
        <w:t xml:space="preserve">Divine causal self-knowledge does not derive from effects; creaturely knowledge follows created ordering without comprehensive grasp</w:t>
      </w:r>
    </w:p>
    <w:p>
      <w:pPr>
        <w:pStyle w:val="BodyText"/>
      </w:pPr>
      <w:r>
        <w:rPr>
          <w:b/>
          <w:bCs/>
        </w:rPr>
        <w:t xml:space="preserve">establishes:</w:t>
      </w:r>
      <w:r>
        <w:t xml:space="preserve"> </w:t>
      </w:r>
      <w:r>
        <w:t xml:space="preserve">Different effects, God’s knowledge, and a recipient’s acquired knowledge require distinct accounts</w:t>
      </w:r>
    </w:p>
    <w:p>
      <w:pPr>
        <w:pStyle w:val="BodyText"/>
      </w:pPr>
      <w:r>
        <w:rPr>
          <w:b/>
          <w:bCs/>
        </w:rPr>
        <w:t xml:space="preserve">limit:</w:t>
      </w:r>
      <w:r>
        <w:t xml:space="preserve"> </w:t>
      </w:r>
      <w:r>
        <w:t xml:space="preserve">Does not independently explain choice between possible creations, or knowledge of permitted creaturely decisions. Rolt’s editorial comments about being beyond personality are not adopted.</w:t>
      </w:r>
    </w:p>
    <w:p>
      <w:pPr>
        <w:pStyle w:val="BodyText"/>
      </w:pPr>
      <w:r>
        <w:rPr>
          <w:b/>
          <w:bCs/>
        </w:rPr>
        <w:t xml:space="preserve">quote:</w:t>
      </w:r>
      <w:r>
        <w:t xml:space="preserve"> </w:t>
      </w:r>
      <w:r>
        <w:t xml:space="preserve">the Mind of God gains not Its knowledge of things from those things</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direct</w:t>
      </w:r>
    </w:p>
    <w:p>
      <w:pPr>
        <w:pStyle w:val="Heading3"/>
      </w:pPr>
      <w:r>
        <w:t xml:space="preserve">DN-L — Pseudo-Dionysius</w:t>
      </w:r>
    </w:p>
    <w:p>
      <w:pPr>
        <w:pStyle w:val="FirstParagraph"/>
      </w:pPr>
      <w:r>
        <w:rPr>
          <w:b/>
          <w:bCs/>
        </w:rPr>
        <w:t xml:space="preserve">id:</w:t>
      </w:r>
      <w:r>
        <w:t xml:space="preserve"> </w:t>
      </w:r>
      <w:r>
        <w:t xml:space="preserve">DN-L</w:t>
      </w:r>
    </w:p>
    <w:p>
      <w:pPr>
        <w:pStyle w:val="BodyText"/>
      </w:pPr>
      <w:r>
        <w:rPr>
          <w:b/>
          <w:bCs/>
        </w:rPr>
        <w:t xml:space="preserve">author:</w:t>
      </w:r>
      <w:r>
        <w:t xml:space="preserve"> </w:t>
      </w:r>
      <w:r>
        <w:t xml:space="preserve">Pseudo-Dionysius</w:t>
      </w:r>
    </w:p>
    <w:p>
      <w:pPr>
        <w:pStyle w:val="BodyText"/>
      </w:pPr>
      <w:r>
        <w:rPr>
          <w:b/>
          <w:bCs/>
        </w:rPr>
        <w:t xml:space="preserve">title:</w:t>
      </w:r>
      <w:r>
        <w:t xml:space="preserve"> </w:t>
      </w:r>
      <w:r>
        <w:t xml:space="preserve">Divine Names</w:t>
      </w:r>
    </w:p>
    <w:p>
      <w:pPr>
        <w:pStyle w:val="BodyText"/>
      </w:pPr>
      <w:r>
        <w:rPr>
          <w:b/>
          <w:bCs/>
        </w:rPr>
        <w:t xml:space="preserve">locus:</w:t>
      </w:r>
      <w:r>
        <w:t xml:space="preserve"> </w:t>
      </w:r>
      <w:r>
        <w:t xml:space="preserve">IX.6–7; Rolt pp. 166–167</w:t>
      </w:r>
    </w:p>
    <w:p>
      <w:pPr>
        <w:pStyle w:val="BodyText"/>
      </w:pPr>
      <w:r>
        <w:rPr>
          <w:b/>
          <w:bCs/>
        </w:rPr>
        <w:t xml:space="preserve">url:</w:t>
      </w:r>
      <w:r>
        <w:t xml:space="preserve"> </w:t>
      </w:r>
      <w:r>
        <w:t xml:space="preserve">https:/​/​ccel.​org/​ccel/​rolt/​dionysius/​dionysius.​iv.​x.​html</w:t>
      </w:r>
    </w:p>
    <w:p>
      <w:pPr>
        <w:pStyle w:val="BodyText"/>
      </w:pPr>
      <w:r>
        <w:rPr>
          <w:b/>
          <w:bCs/>
        </w:rPr>
        <w:t xml:space="preserve">status:</w:t>
      </w:r>
      <w:r>
        <w:t xml:space="preserve"> </w:t>
      </w:r>
      <w:r>
        <w:t xml:space="preserve">Primary translation directly consulted this page</w:t>
      </w:r>
    </w:p>
    <w:p>
      <w:pPr>
        <w:pStyle w:val="BodyText"/>
      </w:pPr>
      <w:r>
        <w:rPr>
          <w:b/>
          <w:bCs/>
        </w:rPr>
        <w:t xml:space="preserve">edition:</w:t>
      </w:r>
      <w:r>
        <w:t xml:space="preserve"> </w:t>
      </w:r>
      <w:r>
        <w:t xml:space="preserve">C. E. Rolt (1920), CCEL</w:t>
      </w:r>
    </w:p>
    <w:p>
      <w:pPr>
        <w:pStyle w:val="BodyText"/>
      </w:pPr>
      <w:r>
        <w:rPr>
          <w:b/>
          <w:bCs/>
        </w:rPr>
        <w:t xml:space="preserve">claim:</w:t>
      </w:r>
      <w:r>
        <w:t xml:space="preserve"> </w:t>
      </w:r>
      <w:r>
        <w:t xml:space="preserve">Causal likeness is nonreciprocal; finite effects are like and unlike source in different respects</w:t>
      </w:r>
    </w:p>
    <w:p>
      <w:pPr>
        <w:pStyle w:val="BodyText"/>
      </w:pPr>
      <w:r>
        <w:rPr>
          <w:b/>
          <w:bCs/>
        </w:rPr>
        <w:t xml:space="preserve">establishes:</w:t>
      </w:r>
      <w:r>
        <w:t xml:space="preserve"> </w:t>
      </w:r>
      <w:r>
        <w:t xml:space="preserve">Meaningful likeness does not require a shared nature</w:t>
      </w:r>
    </w:p>
    <w:p>
      <w:pPr>
        <w:pStyle w:val="BodyText"/>
      </w:pPr>
      <w:r>
        <w:rPr>
          <w:b/>
          <w:bCs/>
        </w:rPr>
        <w:t xml:space="preserve">limit:</w:t>
      </w:r>
      <w:r>
        <w:t xml:space="preserve"> </w:t>
      </w:r>
      <w:r>
        <w:t xml:space="preserve">Does not prove that every effect resembles its cause in every respect</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direct</w:t>
      </w:r>
    </w:p>
    <w:p>
      <w:pPr>
        <w:pStyle w:val="Heading3"/>
      </w:pPr>
      <w:r>
        <w:t xml:space="preserve">NY-M — Gregory of Nyssa</w:t>
      </w:r>
    </w:p>
    <w:p>
      <w:pPr>
        <w:pStyle w:val="FirstParagraph"/>
      </w:pPr>
      <w:r>
        <w:rPr>
          <w:b/>
          <w:bCs/>
        </w:rPr>
        <w:t xml:space="preserve">id:</w:t>
      </w:r>
      <w:r>
        <w:t xml:space="preserve"> </w:t>
      </w:r>
      <w:r>
        <w:t xml:space="preserve">NY-M</w:t>
      </w:r>
    </w:p>
    <w:p>
      <w:pPr>
        <w:pStyle w:val="BodyText"/>
      </w:pPr>
      <w:r>
        <w:rPr>
          <w:b/>
          <w:bCs/>
        </w:rPr>
        <w:t xml:space="preserve">author:</w:t>
      </w:r>
      <w:r>
        <w:t xml:space="preserve"> </w:t>
      </w:r>
      <w:r>
        <w:t xml:space="preserve">Gregory of Nyssa</w:t>
      </w:r>
    </w:p>
    <w:p>
      <w:pPr>
        <w:pStyle w:val="BodyText"/>
      </w:pPr>
      <w:r>
        <w:rPr>
          <w:b/>
          <w:bCs/>
        </w:rPr>
        <w:t xml:space="preserve">title:</w:t>
      </w:r>
      <w:r>
        <w:t xml:space="preserve"> </w:t>
      </w:r>
      <w:r>
        <w:t xml:space="preserve">On the Making of Man</w:t>
      </w:r>
    </w:p>
    <w:p>
      <w:pPr>
        <w:pStyle w:val="BodyText"/>
      </w:pPr>
      <w:r>
        <w:rPr>
          <w:b/>
          <w:bCs/>
        </w:rPr>
        <w:t xml:space="preserve">locus:</w:t>
      </w:r>
      <w:r>
        <w:t xml:space="preserve"> </w:t>
      </w:r>
      <w:r>
        <w:t xml:space="preserve">XVI</w:t>
      </w:r>
    </w:p>
    <w:p>
      <w:pPr>
        <w:pStyle w:val="BodyText"/>
      </w:pPr>
      <w:r>
        <w:rPr>
          <w:b/>
          <w:bCs/>
        </w:rPr>
        <w:t xml:space="preserve">url:</w:t>
      </w:r>
      <w:r>
        <w:t xml:space="preserve"> </w:t>
      </w:r>
      <w:r>
        <w:t xml:space="preserve">https:/​/​raw.​githubusercontent.​com/​standardebooks/​gregory-​of-​nyssa_​on-​the-​making-​of-​man_​william-​moore_​henry-​austin-​wilson/​master/​src/​epub/​text/​chapter-​16.​xhtml</w:t>
      </w:r>
    </w:p>
    <w:p>
      <w:pPr>
        <w:pStyle w:val="BodyText"/>
      </w:pPr>
      <w:r>
        <w:rPr>
          <w:b/>
          <w:bCs/>
        </w:rPr>
        <w:t xml:space="preserve">status:</w:t>
      </w:r>
      <w:r>
        <w:t xml:space="preserve"> </w:t>
      </w:r>
      <w:r>
        <w:t xml:space="preserve">Primary translation reconsulted from original project</w:t>
      </w:r>
    </w:p>
    <w:p>
      <w:pPr>
        <w:pStyle w:val="BodyText"/>
      </w:pPr>
      <w:r>
        <w:rPr>
          <w:b/>
          <w:bCs/>
        </w:rPr>
        <w:t xml:space="preserve">edition:</w:t>
      </w:r>
      <w:r>
        <w:t xml:space="preserve"> </w:t>
      </w:r>
      <w:r>
        <w:t xml:space="preserve">William Moore and Henry Austin Wilson, NPNF second series V; Standard Ebooks transcription with scan-check provenance</w:t>
      </w:r>
    </w:p>
    <w:p>
      <w:pPr>
        <w:pStyle w:val="BodyText"/>
      </w:pPr>
      <w:r>
        <w:rPr>
          <w:b/>
          <w:bCs/>
        </w:rPr>
        <w:t xml:space="preserve">claim:</w:t>
      </w:r>
      <w:r>
        <w:t xml:space="preserve"> </w:t>
      </w:r>
      <w:r>
        <w:t xml:space="preserve">Likeness in attributes differs from created/uncreated mode; created goods are measured and virtue voluntary</w:t>
      </w:r>
    </w:p>
    <w:p>
      <w:pPr>
        <w:pStyle w:val="BodyText"/>
      </w:pPr>
      <w:r>
        <w:rPr>
          <w:b/>
          <w:bCs/>
        </w:rPr>
        <w:t xml:space="preserve">establishes:</w:t>
      </w:r>
      <w:r>
        <w:t xml:space="preserve"> </w:t>
      </w:r>
      <w:r>
        <w:t xml:space="preserve">Created limitations need not limit the source; receiving rational agency is compatible with voluntary action</w:t>
      </w:r>
    </w:p>
    <w:p>
      <w:pPr>
        <w:pStyle w:val="BodyText"/>
      </w:pPr>
      <w:r>
        <w:rPr>
          <w:b/>
          <w:bCs/>
        </w:rPr>
        <w:t xml:space="preserve">limit:</w:t>
      </w:r>
      <w:r>
        <w:t xml:space="preserve"> </w:t>
      </w:r>
      <w:r>
        <w:t xml:space="preserve">Speculative anthropology is not a universally established metaphysical principle. The Life of Moses passages on infinity were not newly read.</w:t>
      </w:r>
    </w:p>
    <w:p>
      <w:pPr>
        <w:pStyle w:val="BodyText"/>
      </w:pPr>
      <w:r>
        <w:rPr>
          <w:b/>
          <w:bCs/>
        </w:rPr>
        <w:t xml:space="preserve">quote:</w:t>
      </w:r>
      <w:r>
        <w:t xml:space="preserve"> </w:t>
      </w:r>
      <w:r>
        <w:t xml:space="preserve">virtue is a voluntary thing, subject to no dominion</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direct</w:t>
      </w:r>
    </w:p>
    <w:p>
      <w:pPr>
        <w:pStyle w:val="Heading3"/>
      </w:pPr>
      <w:r>
        <w:t xml:space="preserve">MX-D — Maximus the Confessor</w:t>
      </w:r>
    </w:p>
    <w:p>
      <w:pPr>
        <w:pStyle w:val="FirstParagraph"/>
      </w:pPr>
      <w:r>
        <w:rPr>
          <w:b/>
          <w:bCs/>
        </w:rPr>
        <w:t xml:space="preserve">id:</w:t>
      </w:r>
      <w:r>
        <w:t xml:space="preserve"> </w:t>
      </w:r>
      <w:r>
        <w:t xml:space="preserve">MX-D</w:t>
      </w:r>
    </w:p>
    <w:p>
      <w:pPr>
        <w:pStyle w:val="BodyText"/>
      </w:pPr>
      <w:r>
        <w:rPr>
          <w:b/>
          <w:bCs/>
        </w:rPr>
        <w:t xml:space="preserve">author:</w:t>
      </w:r>
      <w:r>
        <w:t xml:space="preserve"> </w:t>
      </w:r>
      <w:r>
        <w:t xml:space="preserve">Maximus the Confessor</w:t>
      </w:r>
    </w:p>
    <w:p>
      <w:pPr>
        <w:pStyle w:val="BodyText"/>
      </w:pPr>
      <w:r>
        <w:rPr>
          <w:b/>
          <w:bCs/>
        </w:rPr>
        <w:t xml:space="preserve">title:</w:t>
      </w:r>
      <w:r>
        <w:t xml:space="preserve"> </w:t>
      </w:r>
      <w:r>
        <w:t xml:space="preserve">Ambiguum 7</w:t>
      </w:r>
    </w:p>
    <w:p>
      <w:pPr>
        <w:pStyle w:val="BodyText"/>
      </w:pPr>
      <w:r>
        <w:rPr>
          <w:b/>
          <w:bCs/>
        </w:rPr>
        <w:t xml:space="preserve">locus:</w:t>
      </w:r>
      <w:r>
        <w:t xml:space="preserve"> </w:t>
      </w:r>
      <w:r>
        <w:t xml:space="preserve">PG 91, 1077–1081, transcription ΠΡ 2.11–2.16; knowledge passage ΠΡ 2.20 within columns 1085–1088</w:t>
      </w:r>
    </w:p>
    <w:p>
      <w:pPr>
        <w:pStyle w:val="BodyText"/>
      </w:pPr>
      <w:r>
        <w:rPr>
          <w:b/>
          <w:bCs/>
        </w:rPr>
        <w:t xml:space="preserve">url:</w:t>
      </w:r>
      <w:r>
        <w:t xml:space="preserve"> </w:t>
      </w:r>
      <w:r>
        <w:t xml:space="preserve">https:/​/​raw.​githubusercontent.​com/​robertvsiii/​maximus-​confessor/​5ef8d8b33bb7e16576f4b5445db7ee07541aff9f/​texts/​maximus/​maximus_​confessor.​ambigua_​iohannem.​tess</w:t>
      </w:r>
    </w:p>
    <w:p>
      <w:pPr>
        <w:pStyle w:val="BodyText"/>
      </w:pPr>
      <w:r>
        <w:rPr>
          <w:b/>
          <w:bCs/>
        </w:rPr>
        <w:t xml:space="preserve">status:</w:t>
      </w:r>
      <w:r>
        <w:t xml:space="preserve"> </w:t>
      </w:r>
      <w:r>
        <w:t xml:space="preserve">Provisional Greek primary witness reconsulted; modern reliable edition collation outstanding</w:t>
      </w:r>
    </w:p>
    <w:p>
      <w:pPr>
        <w:pStyle w:val="BodyText"/>
      </w:pPr>
      <w:r>
        <w:rPr>
          <w:b/>
          <w:bCs/>
        </w:rPr>
        <w:t xml:space="preserve">edition:</w:t>
      </w:r>
      <w:r>
        <w:t xml:space="preserve"> </w:t>
      </w:r>
      <w:r>
        <w:t xml:space="preserve">Undocumented Greek transcription; consult Nicholas Constas, Ambigua (2014) for critical control</w:t>
      </w:r>
    </w:p>
    <w:p>
      <w:pPr>
        <w:pStyle w:val="BodyText"/>
      </w:pPr>
      <w:r>
        <w:rPr>
          <w:b/>
          <w:bCs/>
        </w:rPr>
        <w:t xml:space="preserve">claim:</w:t>
      </w:r>
      <w:r>
        <w:t xml:space="preserve"> </w:t>
      </w:r>
      <w:r>
        <w:t xml:space="preserve">Logoi and divine knowledge are distinguished from creatures obtaining actuality at appropriate times; one Logos grounds differentiated logoi</w:t>
      </w:r>
    </w:p>
    <w:p>
      <w:pPr>
        <w:pStyle w:val="BodyText"/>
      </w:pPr>
      <w:r>
        <w:rPr>
          <w:b/>
          <w:bCs/>
        </w:rPr>
        <w:t xml:space="preserve">establishes:</w:t>
      </w:r>
      <w:r>
        <w:t xml:space="preserve"> </w:t>
      </w:r>
      <w:r>
        <w:t xml:space="preserve">Intelligibility and realized history are distinct; temporal realization need not imply acquired divine knowledge</w:t>
      </w:r>
    </w:p>
    <w:p>
      <w:pPr>
        <w:pStyle w:val="BodyText"/>
      </w:pPr>
      <w:r>
        <w:rPr>
          <w:b/>
          <w:bCs/>
        </w:rPr>
        <w:t xml:space="preserve">limit:</w:t>
      </w:r>
      <w:r>
        <w:t xml:space="preserve"> </w:t>
      </w:r>
      <w:r>
        <w:t xml:space="preserve">No English quotation is attributed to Constas. The text does not establish that divine intentions differ only relationally, prove alternative creations, or eliminate historical disagreements.</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provisional</w:t>
      </w:r>
    </w:p>
    <w:p>
      <w:pPr>
        <w:pStyle w:val="Heading3"/>
      </w:pPr>
      <w:r>
        <w:t xml:space="preserve">RD-BON-FIRST — Bonaventure</w:t>
      </w:r>
    </w:p>
    <w:p>
      <w:pPr>
        <w:pStyle w:val="FirstParagraph"/>
      </w:pPr>
      <w:r>
        <w:rPr>
          <w:b/>
          <w:bCs/>
        </w:rPr>
        <w:t xml:space="preserve">id:</w:t>
      </w:r>
      <w:r>
        <w:t xml:space="preserve"> </w:t>
      </w:r>
      <w:r>
        <w:t xml:space="preserve">RD-BON-FIRST</w:t>
      </w:r>
    </w:p>
    <w:p>
      <w:pPr>
        <w:pStyle w:val="BodyText"/>
      </w:pPr>
      <w:r>
        <w:rPr>
          <w:b/>
          <w:bCs/>
        </w:rPr>
        <w:t xml:space="preserve">author:</w:t>
      </w:r>
      <w:r>
        <w:t xml:space="preserve"> </w:t>
      </w:r>
      <w:r>
        <w:t xml:space="preserve">Bonaventure</w:t>
      </w:r>
    </w:p>
    <w:p>
      <w:pPr>
        <w:pStyle w:val="BodyText"/>
      </w:pPr>
      <w:r>
        <w:rPr>
          <w:b/>
          <w:bCs/>
        </w:rPr>
        <w:t xml:space="preserve">title:</w:t>
      </w:r>
      <w:r>
        <w:t xml:space="preserve"> </w:t>
      </w:r>
      <w:r>
        <w:t xml:space="preserve">Commentary on the First Book of Sentences</w:t>
      </w:r>
    </w:p>
    <w:p>
      <w:pPr>
        <w:pStyle w:val="BodyText"/>
      </w:pPr>
      <w:r>
        <w:rPr>
          <w:b/>
          <w:bCs/>
        </w:rPr>
        <w:t xml:space="preserve">locus:</w:t>
      </w:r>
      <w:r>
        <w:t xml:space="preserve"> </w:t>
      </w:r>
      <w:r>
        <w:t xml:space="preserve">I Sent., d. 8, p. II, a. un., q. 1, arguments 1–2 (inherited register B12)</w:t>
      </w:r>
    </w:p>
    <w:p>
      <w:pPr>
        <w:pStyle w:val="BodyText"/>
      </w:pPr>
      <w:r>
        <w:rPr>
          <w:b/>
          <w:bCs/>
        </w:rPr>
        <w:t xml:space="preserve">url:</w:t>
      </w:r>
      <w:r>
        <w:t xml:space="preserve"> </w:t>
      </w:r>
      <w:r>
        <w:t xml:space="preserve">https:/​/​plato.​stanford.​edu/​entries/​bonaventure/​</w:t>
      </w:r>
    </w:p>
    <w:p>
      <w:pPr>
        <w:pStyle w:val="BodyText"/>
      </w:pPr>
      <w:r>
        <w:rPr>
          <w:b/>
          <w:bCs/>
        </w:rPr>
        <w:t xml:space="preserve">status:</w:t>
      </w:r>
      <w:r>
        <w:t xml:space="preserve"> </w:t>
      </w:r>
      <w:r>
        <w:t xml:space="preserve">Inherited primary audit; not freshly critical-collated. URL is specialist orientation, not the Latin witness.</w:t>
      </w:r>
    </w:p>
    <w:p>
      <w:pPr>
        <w:pStyle w:val="BodyText"/>
      </w:pPr>
      <w:r>
        <w:rPr>
          <w:b/>
          <w:bCs/>
        </w:rPr>
        <w:t xml:space="preserve">edition:</w:t>
      </w:r>
      <w:r>
        <w:t xml:space="preserve"> </w:t>
      </w:r>
      <w:r>
        <w:t xml:space="preserve">Opera omnia, vol. I, Quaracchi, 1882; Latin transcription audit inherited from Being-First. English quotation is manuscript working translation.</w:t>
      </w:r>
    </w:p>
    <w:p>
      <w:pPr>
        <w:pStyle w:val="BodyText"/>
      </w:pPr>
      <w:r>
        <w:rPr>
          <w:b/>
          <w:bCs/>
        </w:rPr>
        <w:t xml:space="preserve">claim:</w:t>
      </w:r>
      <w:r>
        <w:t xml:space="preserve"> </w:t>
      </w:r>
      <w:r>
        <w:t xml:space="preserve">An absolutely first source does not receive the actuality of its perfection from something distinct.</w:t>
      </w:r>
    </w:p>
    <w:p>
      <w:pPr>
        <w:pStyle w:val="BodyText"/>
      </w:pPr>
      <w:r>
        <w:rPr>
          <w:b/>
          <w:bCs/>
        </w:rPr>
        <w:t xml:space="preserve">establishes:</w:t>
      </w:r>
      <w:r>
        <w:t xml:space="preserve"> </w:t>
      </w:r>
      <w:r>
        <w:t xml:space="preserve">Arguments from firstness and essential perfection help test dependence on constituents; different attributes need not be parts of perfection.</w:t>
      </w:r>
    </w:p>
    <w:p>
      <w:pPr>
        <w:pStyle w:val="BodyText"/>
      </w:pPr>
      <w:r>
        <w:rPr>
          <w:b/>
          <w:bCs/>
        </w:rPr>
        <w:t xml:space="preserve">limit:</w:t>
      </w:r>
      <w:r>
        <w:t xml:space="preserve"> </w:t>
      </w:r>
      <w:r>
        <w:t xml:space="preserve">Does not identify God with every known object or relation to a creature. The modern argument from dependence on constituents is a reconstruction.</w:t>
      </w:r>
    </w:p>
    <w:p>
      <w:pPr>
        <w:pStyle w:val="BodyText"/>
      </w:pPr>
      <w:r>
        <w:rPr>
          <w:b/>
          <w:bCs/>
        </w:rPr>
        <w:t xml:space="preserve">quote:</w:t>
      </w:r>
      <w:r>
        <w:t xml:space="preserve"> </w:t>
      </w:r>
      <w:r>
        <w:t xml:space="preserve">Whatever is whatever it has is most simple.</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inherited</w:t>
      </w:r>
    </w:p>
    <w:p>
      <w:pPr>
        <w:pStyle w:val="BodyText"/>
      </w:pPr>
      <w:r>
        <w:rPr>
          <w:b/>
          <w:bCs/>
        </w:rPr>
        <w:t xml:space="preserve">url_role:</w:t>
      </w:r>
      <w:r>
        <w:t xml:space="preserve"> </w:t>
      </w:r>
      <w:r>
        <w:t xml:space="preserve">Specialist orientation; not the directly consulted primary witness</w:t>
      </w:r>
    </w:p>
    <w:p>
      <w:pPr>
        <w:pStyle w:val="Heading3"/>
      </w:pPr>
      <w:r>
        <w:t xml:space="preserve">RD-BON-FULL — Bonaventure</w:t>
      </w:r>
    </w:p>
    <w:p>
      <w:pPr>
        <w:pStyle w:val="FirstParagraph"/>
      </w:pPr>
      <w:r>
        <w:rPr>
          <w:b/>
          <w:bCs/>
        </w:rPr>
        <w:t xml:space="preserve">id:</w:t>
      </w:r>
      <w:r>
        <w:t xml:space="preserve"> </w:t>
      </w:r>
      <w:r>
        <w:t xml:space="preserve">RD-BON-FULL</w:t>
      </w:r>
    </w:p>
    <w:p>
      <w:pPr>
        <w:pStyle w:val="BodyText"/>
      </w:pPr>
      <w:r>
        <w:rPr>
          <w:b/>
          <w:bCs/>
        </w:rPr>
        <w:t xml:space="preserve">author:</w:t>
      </w:r>
      <w:r>
        <w:t xml:space="preserve"> </w:t>
      </w:r>
      <w:r>
        <w:t xml:space="preserve">Bonaventure</w:t>
      </w:r>
    </w:p>
    <w:p>
      <w:pPr>
        <w:pStyle w:val="BodyText"/>
      </w:pPr>
      <w:r>
        <w:rPr>
          <w:b/>
          <w:bCs/>
        </w:rPr>
        <w:t xml:space="preserve">title:</w:t>
      </w:r>
      <w:r>
        <w:t xml:space="preserve"> </w:t>
      </w:r>
      <w:r>
        <w:t xml:space="preserve">Commentary on the First Book of Sentences</w:t>
      </w:r>
    </w:p>
    <w:p>
      <w:pPr>
        <w:pStyle w:val="BodyText"/>
      </w:pPr>
      <w:r>
        <w:rPr>
          <w:b/>
          <w:bCs/>
        </w:rPr>
        <w:t xml:space="preserve">locus:</w:t>
      </w:r>
      <w:r>
        <w:t xml:space="preserve"> </w:t>
      </w:r>
      <w:r>
        <w:t xml:space="preserve">I Sent., d. 8, p. II, a. un., q. 1, ad 1 (inherited register B13)</w:t>
      </w:r>
    </w:p>
    <w:p>
      <w:pPr>
        <w:pStyle w:val="BodyText"/>
      </w:pPr>
      <w:r>
        <w:rPr>
          <w:b/>
          <w:bCs/>
        </w:rPr>
        <w:t xml:space="preserve">url:</w:t>
      </w:r>
      <w:r>
        <w:t xml:space="preserve"> </w:t>
      </w:r>
      <w:r>
        <w:t xml:space="preserve">https:/​/​plato.​stanford.​edu/​entries/​bonaventure/​</w:t>
      </w:r>
    </w:p>
    <w:p>
      <w:pPr>
        <w:pStyle w:val="BodyText"/>
      </w:pPr>
      <w:r>
        <w:rPr>
          <w:b/>
          <w:bCs/>
        </w:rPr>
        <w:t xml:space="preserve">status:</w:t>
      </w:r>
      <w:r>
        <w:t xml:space="preserve"> </w:t>
      </w:r>
      <w:r>
        <w:t xml:space="preserve">Inherited primary audit; URL is specialist orientation.</w:t>
      </w:r>
    </w:p>
    <w:p>
      <w:pPr>
        <w:pStyle w:val="BodyText"/>
      </w:pPr>
      <w:r>
        <w:rPr>
          <w:b/>
          <w:bCs/>
        </w:rPr>
        <w:t xml:space="preserve">edition:</w:t>
      </w:r>
      <w:r>
        <w:t xml:space="preserve"> </w:t>
      </w:r>
      <w:r>
        <w:t xml:space="preserve">Opera omnia, vol. I, Quaracchi, 1882; working English translation in supplied manuscript.</w:t>
      </w:r>
    </w:p>
    <w:p>
      <w:pPr>
        <w:pStyle w:val="BodyText"/>
      </w:pPr>
      <w:r>
        <w:rPr>
          <w:b/>
          <w:bCs/>
        </w:rPr>
        <w:t xml:space="preserve">claim:</w:t>
      </w:r>
      <w:r>
        <w:t xml:space="preserve"> </w:t>
      </w:r>
      <w:r>
        <w:t xml:space="preserve">Supreme noble simplicity signifies supreme actuality and communication.</w:t>
      </w:r>
    </w:p>
    <w:p>
      <w:pPr>
        <w:pStyle w:val="BodyText"/>
      </w:pPr>
      <w:r>
        <w:rPr>
          <w:b/>
          <w:bCs/>
        </w:rPr>
        <w:t xml:space="preserve">establishes:</w:t>
      </w:r>
      <w:r>
        <w:t xml:space="preserve"> </w:t>
      </w:r>
      <w:r>
        <w:t xml:space="preserve">Positive fullness rather than deficient featurelessness; the immediate communication argument is Trinitarian.</w:t>
      </w:r>
    </w:p>
    <w:p>
      <w:pPr>
        <w:pStyle w:val="BodyText"/>
      </w:pPr>
      <w:r>
        <w:rPr>
          <w:b/>
          <w:bCs/>
        </w:rPr>
        <w:t xml:space="preserve">limit:</w:t>
      </w:r>
      <w:r>
        <w:t xml:space="preserve"> </w:t>
      </w:r>
      <w:r>
        <w:t xml:space="preserve">Does not entail that this world or any created world necessarily exists. Nonreception alone does not establish fullness.</w:t>
      </w:r>
    </w:p>
    <w:p>
      <w:pPr>
        <w:pStyle w:val="BodyText"/>
      </w:pPr>
      <w:r>
        <w:rPr>
          <w:b/>
          <w:bCs/>
        </w:rPr>
        <w:t xml:space="preserve">quote:</w:t>
      </w:r>
      <w:r>
        <w:t xml:space="preserve"> </w:t>
      </w:r>
      <w:r>
        <w:t xml:space="preserve">Where supreme simplicity is understood, supreme actuality must be understood.</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inherited</w:t>
      </w:r>
    </w:p>
    <w:p>
      <w:pPr>
        <w:pStyle w:val="BodyText"/>
      </w:pPr>
      <w:r>
        <w:rPr>
          <w:b/>
          <w:bCs/>
        </w:rPr>
        <w:t xml:space="preserve">url_role:</w:t>
      </w:r>
      <w:r>
        <w:t xml:space="preserve"> </w:t>
      </w:r>
      <w:r>
        <w:t xml:space="preserve">Specialist orientation; not the directly consulted primary witness</w:t>
      </w:r>
    </w:p>
    <w:p>
      <w:pPr>
        <w:pStyle w:val="Heading3"/>
      </w:pPr>
      <w:r>
        <w:t xml:space="preserve">RD-BON-ORIGIN — Bonaventure</w:t>
      </w:r>
    </w:p>
    <w:p>
      <w:pPr>
        <w:pStyle w:val="FirstParagraph"/>
      </w:pPr>
      <w:r>
        <w:rPr>
          <w:b/>
          <w:bCs/>
        </w:rPr>
        <w:t xml:space="preserve">id:</w:t>
      </w:r>
      <w:r>
        <w:t xml:space="preserve"> </w:t>
      </w:r>
      <w:r>
        <w:t xml:space="preserve">RD-BON-ORIGIN</w:t>
      </w:r>
    </w:p>
    <w:p>
      <w:pPr>
        <w:pStyle w:val="BodyText"/>
      </w:pPr>
      <w:r>
        <w:rPr>
          <w:b/>
          <w:bCs/>
        </w:rPr>
        <w:t xml:space="preserve">author:</w:t>
      </w:r>
      <w:r>
        <w:t xml:space="preserve"> </w:t>
      </w:r>
      <w:r>
        <w:t xml:space="preserve">Bonaventure</w:t>
      </w:r>
    </w:p>
    <w:p>
      <w:pPr>
        <w:pStyle w:val="BodyText"/>
      </w:pPr>
      <w:r>
        <w:rPr>
          <w:b/>
          <w:bCs/>
        </w:rPr>
        <w:t xml:space="preserve">title:</w:t>
      </w:r>
      <w:r>
        <w:t xml:space="preserve"> </w:t>
      </w:r>
      <w:r>
        <w:t xml:space="preserve">Commentary on the First Book of Sentences</w:t>
      </w:r>
    </w:p>
    <w:p>
      <w:pPr>
        <w:pStyle w:val="BodyText"/>
      </w:pPr>
      <w:r>
        <w:rPr>
          <w:b/>
          <w:bCs/>
        </w:rPr>
        <w:t xml:space="preserve">locus:</w:t>
      </w:r>
      <w:r>
        <w:t xml:space="preserve"> </w:t>
      </w:r>
      <w:r>
        <w:t xml:space="preserve">I Sent., d. 8, p. II, a. un., q. 1, ad 2 (inherited register B13)</w:t>
      </w:r>
    </w:p>
    <w:p>
      <w:pPr>
        <w:pStyle w:val="BodyText"/>
      </w:pPr>
      <w:r>
        <w:rPr>
          <w:b/>
          <w:bCs/>
        </w:rPr>
        <w:t xml:space="preserve">url:</w:t>
      </w:r>
      <w:r>
        <w:t xml:space="preserve"> </w:t>
      </w:r>
      <w:r>
        <w:t xml:space="preserve">https:/​/​plato.​stanford.​edu/​entries/​bonaventure/​</w:t>
      </w:r>
    </w:p>
    <w:p>
      <w:pPr>
        <w:pStyle w:val="BodyText"/>
      </w:pPr>
      <w:r>
        <w:rPr>
          <w:b/>
          <w:bCs/>
        </w:rPr>
        <w:t xml:space="preserve">status:</w:t>
      </w:r>
      <w:r>
        <w:t xml:space="preserve"> </w:t>
      </w:r>
      <w:r>
        <w:t xml:space="preserve">Inherited primary audit; paraphrase of manuscript source discussion, no new critical collation.</w:t>
      </w:r>
    </w:p>
    <w:p>
      <w:pPr>
        <w:pStyle w:val="BodyText"/>
      </w:pPr>
      <w:r>
        <w:rPr>
          <w:b/>
          <w:bCs/>
        </w:rPr>
        <w:t xml:space="preserve">edition:</w:t>
      </w:r>
      <w:r>
        <w:t xml:space="preserve"> </w:t>
      </w:r>
      <w:r>
        <w:t xml:space="preserve">Opera omnia, vol. I, Quaracchi, 1882; prior manuscript Latin-transcription audit.</w:t>
      </w:r>
    </w:p>
    <w:p>
      <w:pPr>
        <w:pStyle w:val="BodyText"/>
      </w:pPr>
      <w:r>
        <w:rPr>
          <w:b/>
          <w:bCs/>
        </w:rPr>
        <w:t xml:space="preserve">claim:</w:t>
      </w:r>
      <w:r>
        <w:t xml:space="preserve"> </w:t>
      </w:r>
      <w:r>
        <w:t xml:space="preserve">Distinction by origin differs from difference by addition.</w:t>
      </w:r>
    </w:p>
    <w:p>
      <w:pPr>
        <w:pStyle w:val="BodyText"/>
      </w:pPr>
      <w:r>
        <w:rPr>
          <w:b/>
          <w:bCs/>
        </w:rPr>
        <w:t xml:space="preserve">establishes:</w:t>
      </w:r>
      <w:r>
        <w:t xml:space="preserve"> </w:t>
      </w:r>
      <w:r>
        <w:t xml:space="preserve">Theologically affirmed personal origins need not be added parts that constitute divine perfection.</w:t>
      </w:r>
    </w:p>
    <w:p>
      <w:pPr>
        <w:pStyle w:val="BodyText"/>
      </w:pPr>
      <w:r>
        <w:rPr>
          <w:b/>
          <w:bCs/>
        </w:rPr>
        <w:t xml:space="preserve">limit:</w:t>
      </w:r>
      <w:r>
        <w:t xml:space="preserve"> </w:t>
      </w:r>
      <w:r>
        <w:t xml:space="preserve">Trinitarian personal origin, created dependence, and free creative action need distinct accounts. This argument neither proves the Trinity nor explains every condition of free divine action.</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inherited</w:t>
      </w:r>
    </w:p>
    <w:p>
      <w:pPr>
        <w:pStyle w:val="BodyText"/>
      </w:pPr>
      <w:r>
        <w:rPr>
          <w:b/>
          <w:bCs/>
        </w:rPr>
        <w:t xml:space="preserve">url_role:</w:t>
      </w:r>
      <w:r>
        <w:t xml:space="preserve"> </w:t>
      </w:r>
      <w:r>
        <w:t xml:space="preserve">Specialist orientation; not the directly consulted primary witness</w:t>
      </w:r>
    </w:p>
    <w:p>
      <w:pPr>
        <w:pStyle w:val="Heading3"/>
      </w:pPr>
      <w:r>
        <w:t xml:space="preserve">RD-BON-MEASURE — Bonaventure</w:t>
      </w:r>
    </w:p>
    <w:p>
      <w:pPr>
        <w:pStyle w:val="FirstParagraph"/>
      </w:pPr>
      <w:r>
        <w:rPr>
          <w:b/>
          <w:bCs/>
        </w:rPr>
        <w:t xml:space="preserve">id:</w:t>
      </w:r>
      <w:r>
        <w:t xml:space="preserve"> </w:t>
      </w:r>
      <w:r>
        <w:t xml:space="preserve">RD-BON-MEASURE</w:t>
      </w:r>
    </w:p>
    <w:p>
      <w:pPr>
        <w:pStyle w:val="BodyText"/>
      </w:pPr>
      <w:r>
        <w:rPr>
          <w:b/>
          <w:bCs/>
        </w:rPr>
        <w:t xml:space="preserve">author:</w:t>
      </w:r>
      <w:r>
        <w:t xml:space="preserve"> </w:t>
      </w:r>
      <w:r>
        <w:t xml:space="preserve">Bonaventure</w:t>
      </w:r>
    </w:p>
    <w:p>
      <w:pPr>
        <w:pStyle w:val="BodyText"/>
      </w:pPr>
      <w:r>
        <w:rPr>
          <w:b/>
          <w:bCs/>
        </w:rPr>
        <w:t xml:space="preserve">title:</w:t>
      </w:r>
      <w:r>
        <w:t xml:space="preserve"> </w:t>
      </w:r>
      <w:r>
        <w:t xml:space="preserve">Itinerarium mentis in Deum</w:t>
      </w:r>
    </w:p>
    <w:p>
      <w:pPr>
        <w:pStyle w:val="BodyText"/>
      </w:pPr>
      <w:r>
        <w:rPr>
          <w:b/>
          <w:bCs/>
        </w:rPr>
        <w:t xml:space="preserve">locus:</w:t>
      </w:r>
      <w:r>
        <w:t xml:space="preserve"> </w:t>
      </w:r>
      <w:r>
        <w:t xml:space="preserve">II.10 (inherited register N6)</w:t>
      </w:r>
    </w:p>
    <w:p>
      <w:pPr>
        <w:pStyle w:val="BodyText"/>
      </w:pPr>
      <w:r>
        <w:rPr>
          <w:b/>
          <w:bCs/>
        </w:rPr>
        <w:t xml:space="preserve">url:</w:t>
      </w:r>
      <w:r>
        <w:t xml:space="preserve"> </w:t>
      </w:r>
      <w:r>
        <w:t xml:space="preserve">https:/​/​plato.​stanford.​edu/​entries/​bonaventure/​</w:t>
      </w:r>
    </w:p>
    <w:p>
      <w:pPr>
        <w:pStyle w:val="BodyText"/>
      </w:pPr>
      <w:r>
        <w:rPr>
          <w:b/>
          <w:bCs/>
        </w:rPr>
        <w:t xml:space="preserve">status:</w:t>
      </w:r>
      <w:r>
        <w:t xml:space="preserve"> </w:t>
      </w:r>
      <w:r>
        <w:t xml:space="preserve">Inherited primary quotation; Latin Library access failed on this pass, no new critical collation.</w:t>
      </w:r>
    </w:p>
    <w:p>
      <w:pPr>
        <w:pStyle w:val="BodyText"/>
      </w:pPr>
      <w:r>
        <w:rPr>
          <w:b/>
          <w:bCs/>
        </w:rPr>
        <w:t xml:space="preserve">edition:</w:t>
      </w:r>
      <w:r>
        <w:t xml:space="preserve"> </w:t>
      </w:r>
      <w:r>
        <w:t xml:space="preserve">Opera omnia, vol. V, Quaracchi, 1891; manuscript working English translation of Latin Library transcription.</w:t>
      </w:r>
    </w:p>
    <w:p>
      <w:pPr>
        <w:pStyle w:val="BodyText"/>
      </w:pPr>
      <w:r>
        <w:rPr>
          <w:b/>
          <w:bCs/>
        </w:rPr>
        <w:t xml:space="preserve">claim:</w:t>
      </w:r>
      <w:r>
        <w:t xml:space="preserve"> </w:t>
      </w:r>
      <w:r>
        <w:t xml:space="preserve">Proportion contributes positively to beauty and delight.</w:t>
      </w:r>
    </w:p>
    <w:p>
      <w:pPr>
        <w:pStyle w:val="BodyText"/>
      </w:pPr>
      <w:r>
        <w:rPr>
          <w:b/>
          <w:bCs/>
        </w:rPr>
        <w:t xml:space="preserve">establishes:</w:t>
      </w:r>
      <w:r>
        <w:t xml:space="preserve"> </w:t>
      </w:r>
      <w:r>
        <w:t xml:space="preserve">A historical resource for finite measure as a positive condition of an achieved good.</w:t>
      </w:r>
    </w:p>
    <w:p>
      <w:pPr>
        <w:pStyle w:val="BodyText"/>
      </w:pPr>
      <w:r>
        <w:rPr>
          <w:b/>
          <w:bCs/>
        </w:rPr>
        <w:t xml:space="preserve">limit:</w:t>
      </w:r>
      <w:r>
        <w:t xml:space="preserve"> </w:t>
      </w:r>
      <w:r>
        <w:t xml:space="preserve">Melody, learning, and finite-history tests are constructive extensions; does not show every finite limitation or loss is good.</w:t>
      </w:r>
    </w:p>
    <w:p>
      <w:pPr>
        <w:pStyle w:val="BodyText"/>
      </w:pPr>
      <w:r>
        <w:rPr>
          <w:b/>
          <w:bCs/>
        </w:rPr>
        <w:t xml:space="preserve">quote:</w:t>
      </w:r>
      <w:r>
        <w:t xml:space="preserve"> </w:t>
      </w:r>
      <w:r>
        <w:t xml:space="preserve">Beauty and delight are not without proportion.</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inherited</w:t>
      </w:r>
    </w:p>
    <w:p>
      <w:pPr>
        <w:pStyle w:val="BodyText"/>
      </w:pPr>
      <w:r>
        <w:rPr>
          <w:b/>
          <w:bCs/>
        </w:rPr>
        <w:t xml:space="preserve">url_role:</w:t>
      </w:r>
      <w:r>
        <w:t xml:space="preserve"> </w:t>
      </w:r>
      <w:r>
        <w:t xml:space="preserve">Specialist orientation; not the directly consulted primary witness</w:t>
      </w:r>
    </w:p>
    <w:p>
      <w:pPr>
        <w:pStyle w:val="Heading3"/>
      </w:pPr>
      <w:r>
        <w:t xml:space="preserve">RD-BON-SEP — Tim Noone and R. E. Houser</w:t>
      </w:r>
    </w:p>
    <w:p>
      <w:pPr>
        <w:pStyle w:val="FirstParagraph"/>
      </w:pPr>
      <w:r>
        <w:rPr>
          <w:b/>
          <w:bCs/>
        </w:rPr>
        <w:t xml:space="preserve">id:</w:t>
      </w:r>
      <w:r>
        <w:t xml:space="preserve"> </w:t>
      </w:r>
      <w:r>
        <w:t xml:space="preserve">RD-BON-SEP</w:t>
      </w:r>
    </w:p>
    <w:p>
      <w:pPr>
        <w:pStyle w:val="BodyText"/>
      </w:pPr>
      <w:r>
        <w:rPr>
          <w:b/>
          <w:bCs/>
        </w:rPr>
        <w:t xml:space="preserve">author:</w:t>
      </w:r>
      <w:r>
        <w:t xml:space="preserve"> </w:t>
      </w:r>
      <w:r>
        <w:t xml:space="preserve">Tim Noone and R. E. Houser</w:t>
      </w:r>
    </w:p>
    <w:p>
      <w:pPr>
        <w:pStyle w:val="BodyText"/>
      </w:pPr>
      <w:r>
        <w:rPr>
          <w:b/>
          <w:bCs/>
        </w:rPr>
        <w:t xml:space="preserve">title:</w:t>
      </w:r>
      <w:r>
        <w:t xml:space="preserve"> </w:t>
      </w:r>
      <w:r>
        <w:t xml:space="preserve">Bonaventure, Stanford Encyclopedia of Philosophy</w:t>
      </w:r>
    </w:p>
    <w:p>
      <w:pPr>
        <w:pStyle w:val="BodyText"/>
      </w:pPr>
      <w:r>
        <w:rPr>
          <w:b/>
          <w:bCs/>
        </w:rPr>
        <w:t xml:space="preserve">locus:</w:t>
      </w:r>
      <w:r>
        <w:t xml:space="preserve"> </w:t>
      </w:r>
      <w:r>
        <w:t xml:space="preserve">§5 opening; §5.2 participation/aitiological argument; selected truth discussion</w:t>
      </w:r>
    </w:p>
    <w:p>
      <w:pPr>
        <w:pStyle w:val="BodyText"/>
      </w:pPr>
      <w:r>
        <w:rPr>
          <w:b/>
          <w:bCs/>
        </w:rPr>
        <w:t xml:space="preserve">url:</w:t>
      </w:r>
      <w:r>
        <w:t xml:space="preserve"> </w:t>
      </w:r>
      <w:r>
        <w:t xml:space="preserve">https:/​/​plato.​stanford.​edu/​entries/​bonaventure/​</w:t>
      </w:r>
    </w:p>
    <w:p>
      <w:pPr>
        <w:pStyle w:val="BodyText"/>
      </w:pPr>
      <w:r>
        <w:rPr>
          <w:b/>
          <w:bCs/>
        </w:rPr>
        <w:t xml:space="preserve">status:</w:t>
      </w:r>
      <w:r>
        <w:t xml:space="preserve"> </w:t>
      </w:r>
      <w:r>
        <w:t xml:space="preserve">Fresh publisher consultation of selected passages, 12 October 2026.</w:t>
      </w:r>
    </w:p>
    <w:p>
      <w:pPr>
        <w:pStyle w:val="BodyText"/>
      </w:pPr>
      <w:r>
        <w:rPr>
          <w:b/>
          <w:bCs/>
        </w:rPr>
        <w:t xml:space="preserve">edition:</w:t>
      </w:r>
      <w:r>
        <w:t xml:space="preserve"> </w:t>
      </w:r>
      <w:r>
        <w:t xml:space="preserve">Substantive revision 16 August 2023; current publisher text.</w:t>
      </w:r>
    </w:p>
    <w:p>
      <w:pPr>
        <w:pStyle w:val="BodyText"/>
      </w:pPr>
      <w:r>
        <w:rPr>
          <w:b/>
          <w:bCs/>
        </w:rPr>
        <w:t xml:space="preserve">claim:</w:t>
      </w:r>
      <w:r>
        <w:t xml:space="preserve"> </w:t>
      </w:r>
      <w:r>
        <w:t xml:space="preserve">Exemplar causality unifies finite intelligible expression with efficient and final causality.</w:t>
      </w:r>
    </w:p>
    <w:p>
      <w:pPr>
        <w:pStyle w:val="BodyText"/>
      </w:pPr>
      <w:r>
        <w:rPr>
          <w:b/>
          <w:bCs/>
        </w:rPr>
        <w:t xml:space="preserve">establishes:</w:t>
      </w:r>
      <w:r>
        <w:t xml:space="preserve"> </w:t>
      </w:r>
      <w:r>
        <w:t xml:space="preserve">Supplies Hexaëmeron 6.1 (Quaracchi V:360) and 1.13 (V:331), and a specialist account of participation and transcendental versus categorical attributes.</w:t>
      </w:r>
    </w:p>
    <w:p>
      <w:pPr>
        <w:pStyle w:val="BodyText"/>
      </w:pPr>
      <w:r>
        <w:rPr>
          <w:b/>
          <w:bCs/>
        </w:rPr>
        <w:t xml:space="preserve">limit:</w:t>
      </w:r>
      <w:r>
        <w:t xml:space="preserve"> </w:t>
      </w:r>
      <w:r>
        <w:t xml:space="preserve">Those Hexaëmeron primary loci were secondary-located, not freshly collated; the article interpretation does not establish the proposed account of divine agency.</w:t>
      </w:r>
    </w:p>
    <w:p>
      <w:pPr>
        <w:pStyle w:val="BodyText"/>
      </w:pPr>
      <w:r>
        <w:rPr>
          <w:b/>
          <w:bCs/>
        </w:rPr>
        <w:t xml:space="preserve">source_type:</w:t>
      </w:r>
      <w:r>
        <w:t xml:space="preserve"> </w:t>
      </w:r>
      <w:r>
        <w:t xml:space="preserve">secondary</w:t>
      </w:r>
    </w:p>
    <w:p>
      <w:pPr>
        <w:pStyle w:val="BodyText"/>
      </w:pPr>
      <w:r>
        <w:rPr>
          <w:b/>
          <w:bCs/>
        </w:rPr>
        <w:t xml:space="preserve">consultation_class:</w:t>
      </w:r>
      <w:r>
        <w:t xml:space="preserve"> </w:t>
      </w:r>
      <w:r>
        <w:t xml:space="preserve">secondary</w:t>
      </w:r>
    </w:p>
    <w:p>
      <w:pPr>
        <w:pStyle w:val="Heading3"/>
      </w:pPr>
      <w:r>
        <w:t xml:space="preserve">RD-ERI-APPEAR — John Scottus Eriugena</w:t>
      </w:r>
    </w:p>
    <w:p>
      <w:pPr>
        <w:pStyle w:val="FirstParagraph"/>
      </w:pPr>
      <w:r>
        <w:rPr>
          <w:b/>
          <w:bCs/>
        </w:rPr>
        <w:t xml:space="preserve">id:</w:t>
      </w:r>
      <w:r>
        <w:t xml:space="preserve"> </w:t>
      </w:r>
      <w:r>
        <w:t xml:space="preserve">RD-ERI-APPEAR</w:t>
      </w:r>
    </w:p>
    <w:p>
      <w:pPr>
        <w:pStyle w:val="BodyText"/>
      </w:pPr>
      <w:r>
        <w:rPr>
          <w:b/>
          <w:bCs/>
        </w:rPr>
        <w:t xml:space="preserve">author:</w:t>
      </w:r>
      <w:r>
        <w:t xml:space="preserve"> </w:t>
      </w:r>
      <w:r>
        <w:t xml:space="preserve">John Scottus Eriugena</w:t>
      </w:r>
    </w:p>
    <w:p>
      <w:pPr>
        <w:pStyle w:val="BodyText"/>
      </w:pPr>
      <w:r>
        <w:rPr>
          <w:b/>
          <w:bCs/>
        </w:rPr>
        <w:t xml:space="preserve">title:</w:t>
      </w:r>
      <w:r>
        <w:t xml:space="preserve"> </w:t>
      </w:r>
      <w:r>
        <w:t xml:space="preserve">Periphyseon (The Division of Nature)</w:t>
      </w:r>
    </w:p>
    <w:p>
      <w:pPr>
        <w:pStyle w:val="BodyText"/>
      </w:pPr>
      <w:r>
        <w:rPr>
          <w:b/>
          <w:bCs/>
        </w:rPr>
        <w:t xml:space="preserve">locus:</w:t>
      </w:r>
      <w:r>
        <w:t xml:space="preserve"> </w:t>
      </w:r>
      <w:r>
        <w:t xml:space="preserve">I.446D; printed p. 31; inherited manuscript register E11 (inherited register E11)</w:t>
      </w:r>
    </w:p>
    <w:p>
      <w:pPr>
        <w:pStyle w:val="BodyText"/>
      </w:pPr>
      <w:r>
        <w:rPr>
          <w:b/>
          <w:bCs/>
        </w:rPr>
        <w:t xml:space="preserve">url:</w:t>
      </w:r>
      <w:r>
        <w:t xml:space="preserve"> </w:t>
      </w:r>
      <w:r>
        <w:t xml:space="preserve">https:/​/​plato.​stanford.​edu/​entries/​scottus-​eriugena/​</w:t>
      </w:r>
    </w:p>
    <w:p>
      <w:pPr>
        <w:pStyle w:val="BodyText"/>
      </w:pPr>
      <w:r>
        <w:rPr>
          <w:b/>
          <w:bCs/>
        </w:rPr>
        <w:t xml:space="preserve">status:</w:t>
      </w:r>
      <w:r>
        <w:t xml:space="preserve"> </w:t>
      </w:r>
      <w:r>
        <w:t xml:space="preserve">Inherited supplied primary translation; no new critical Latin collation. URL is specialist orientation.</w:t>
      </w:r>
    </w:p>
    <w:p>
      <w:pPr>
        <w:pStyle w:val="BodyText"/>
      </w:pPr>
      <w:r>
        <w:rPr>
          <w:b/>
          <w:bCs/>
        </w:rPr>
        <w:t xml:space="preserve">edition:</w:t>
      </w:r>
      <w:r>
        <w:t xml:space="preserve"> </w:t>
      </w:r>
      <w:r>
        <w:t xml:space="preserve">Translated by I. P. Sheldon-Williams, revised by John J. O’Meara, Bellarmin/Dumbarton Oaks, 1987.</w:t>
      </w:r>
    </w:p>
    <w:p>
      <w:pPr>
        <w:pStyle w:val="BodyText"/>
      </w:pPr>
      <w:r>
        <w:rPr>
          <w:b/>
          <w:bCs/>
        </w:rPr>
        <w:t xml:space="preserve">claim:</w:t>
      </w:r>
      <w:r>
        <w:t xml:space="preserve"> </w:t>
      </w:r>
      <w:r>
        <w:t xml:space="preserve">Theophanic appearance can be created and distinct from the divine essence.</w:t>
      </w:r>
    </w:p>
    <w:p>
      <w:pPr>
        <w:pStyle w:val="BodyText"/>
      </w:pPr>
      <w:r>
        <w:rPr>
          <w:b/>
          <w:bCs/>
        </w:rPr>
        <w:t xml:space="preserve">establishes:</w:t>
      </w:r>
      <w:r>
        <w:t xml:space="preserve"> </w:t>
      </w:r>
      <w:r>
        <w:t xml:space="preserve">A distinction between the source and how it appears, relevant to the recipient’s conditions.</w:t>
      </w:r>
    </w:p>
    <w:p>
      <w:pPr>
        <w:pStyle w:val="BodyText"/>
      </w:pPr>
      <w:r>
        <w:rPr>
          <w:b/>
          <w:bCs/>
        </w:rPr>
        <w:t xml:space="preserve">limit:</w:t>
      </w:r>
      <w:r>
        <w:t xml:space="preserve"> </w:t>
      </w:r>
      <w:r>
        <w:t xml:space="preserve">Does not cancel the stronger God–creature unity passages or by itself explain divine self-knowledge.</w:t>
      </w:r>
    </w:p>
    <w:p>
      <w:pPr>
        <w:pStyle w:val="BodyText"/>
      </w:pPr>
      <w:r>
        <w:rPr>
          <w:b/>
          <w:bCs/>
        </w:rPr>
        <w:t xml:space="preserve">quote:</w:t>
      </w:r>
      <w:r>
        <w:t xml:space="preserve"> </w:t>
      </w:r>
      <w:r>
        <w:t xml:space="preserve">It is not His Essence that (the prophet) saw, but something created by Him.</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inherited</w:t>
      </w:r>
    </w:p>
    <w:p>
      <w:pPr>
        <w:pStyle w:val="BodyText"/>
      </w:pPr>
      <w:r>
        <w:rPr>
          <w:b/>
          <w:bCs/>
        </w:rPr>
        <w:t xml:space="preserve">url_role:</w:t>
      </w:r>
      <w:r>
        <w:t xml:space="preserve"> </w:t>
      </w:r>
      <w:r>
        <w:t xml:space="preserve">Specialist orientation; not the directly consulted primary witness</w:t>
      </w:r>
    </w:p>
    <w:p>
      <w:pPr>
        <w:pStyle w:val="Heading3"/>
      </w:pPr>
      <w:r>
        <w:t xml:space="preserve">RD-ERI-EXPRESSION — John Scottus Eriugena</w:t>
      </w:r>
    </w:p>
    <w:p>
      <w:pPr>
        <w:pStyle w:val="FirstParagraph"/>
      </w:pPr>
      <w:r>
        <w:rPr>
          <w:b/>
          <w:bCs/>
        </w:rPr>
        <w:t xml:space="preserve">id:</w:t>
      </w:r>
      <w:r>
        <w:t xml:space="preserve"> </w:t>
      </w:r>
      <w:r>
        <w:t xml:space="preserve">RD-ERI-EXPRESSION</w:t>
      </w:r>
    </w:p>
    <w:p>
      <w:pPr>
        <w:pStyle w:val="BodyText"/>
      </w:pPr>
      <w:r>
        <w:rPr>
          <w:b/>
          <w:bCs/>
        </w:rPr>
        <w:t xml:space="preserve">author:</w:t>
      </w:r>
      <w:r>
        <w:t xml:space="preserve"> </w:t>
      </w:r>
      <w:r>
        <w:t xml:space="preserve">John Scottus Eriugena</w:t>
      </w:r>
    </w:p>
    <w:p>
      <w:pPr>
        <w:pStyle w:val="BodyText"/>
      </w:pPr>
      <w:r>
        <w:rPr>
          <w:b/>
          <w:bCs/>
        </w:rPr>
        <w:t xml:space="preserve">title:</w:t>
      </w:r>
      <w:r>
        <w:t xml:space="preserve"> </w:t>
      </w:r>
      <w:r>
        <w:t xml:space="preserve">Periphyseon (The Division of Nature)</w:t>
      </w:r>
    </w:p>
    <w:p>
      <w:pPr>
        <w:pStyle w:val="BodyText"/>
      </w:pPr>
      <w:r>
        <w:rPr>
          <w:b/>
          <w:bCs/>
        </w:rPr>
        <w:t xml:space="preserve">locus:</w:t>
      </w:r>
      <w:r>
        <w:t xml:space="preserve"> </w:t>
      </w:r>
      <w:r>
        <w:t xml:space="preserve">I.454B–C; printed p. 40; inherited manuscript register E4 (inherited register E4)</w:t>
      </w:r>
    </w:p>
    <w:p>
      <w:pPr>
        <w:pStyle w:val="BodyText"/>
      </w:pPr>
      <w:r>
        <w:rPr>
          <w:b/>
          <w:bCs/>
        </w:rPr>
        <w:t xml:space="preserve">url:</w:t>
      </w:r>
      <w:r>
        <w:t xml:space="preserve"> </w:t>
      </w:r>
      <w:r>
        <w:t xml:space="preserve">https:/​/​plato.​stanford.​edu/​entries/​scottus-​eriugena/​</w:t>
      </w:r>
    </w:p>
    <w:p>
      <w:pPr>
        <w:pStyle w:val="BodyText"/>
      </w:pPr>
      <w:r>
        <w:rPr>
          <w:b/>
          <w:bCs/>
        </w:rPr>
        <w:t xml:space="preserve">status:</w:t>
      </w:r>
      <w:r>
        <w:t xml:space="preserve"> </w:t>
      </w:r>
      <w:r>
        <w:t xml:space="preserve">Inherited supplied primary quotation, not freshly critical-collated.</w:t>
      </w:r>
    </w:p>
    <w:p>
      <w:pPr>
        <w:pStyle w:val="BodyText"/>
      </w:pPr>
      <w:r>
        <w:rPr>
          <w:b/>
          <w:bCs/>
        </w:rPr>
        <w:t xml:space="preserve">edition:</w:t>
      </w:r>
      <w:r>
        <w:t xml:space="preserve"> </w:t>
      </w:r>
      <w:r>
        <w:t xml:space="preserve">Sheldon-Williams/O’Meara translation, 1987.</w:t>
      </w:r>
    </w:p>
    <w:p>
      <w:pPr>
        <w:pStyle w:val="BodyText"/>
      </w:pPr>
      <w:r>
        <w:rPr>
          <w:b/>
          <w:bCs/>
        </w:rPr>
        <w:t xml:space="preserve">claim:</w:t>
      </w:r>
      <w:r>
        <w:t xml:space="preserve"> </w:t>
      </w:r>
      <w:r>
        <w:t xml:space="preserve">Divine manifestation is compared, at a stated distance, to mind taking shape in thoughts and signs.</w:t>
      </w:r>
    </w:p>
    <w:p>
      <w:pPr>
        <w:pStyle w:val="BodyText"/>
      </w:pPr>
      <w:r>
        <w:rPr>
          <w:b/>
          <w:bCs/>
        </w:rPr>
        <w:t xml:space="preserve">establishes:</w:t>
      </w:r>
      <w:r>
        <w:t xml:space="preserve"> </w:t>
      </w:r>
      <w:r>
        <w:t xml:space="preserve">Determinate expression is metaphysically important, not merely an observer’s optional inference.</w:t>
      </w:r>
    </w:p>
    <w:p>
      <w:pPr>
        <w:pStyle w:val="BodyText"/>
      </w:pPr>
      <w:r>
        <w:rPr>
          <w:b/>
          <w:bCs/>
        </w:rPr>
        <w:t xml:space="preserve">limit:</w:t>
      </w:r>
      <w:r>
        <w:t xml:space="preserve"> </w:t>
      </w:r>
      <w:r>
        <w:t xml:space="preserve">The analogy explicitly differs from divine nature; cannot import human learning or self-completion into God. Interpreting this through created reception is a constructive proposal.</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inherited</w:t>
      </w:r>
    </w:p>
    <w:p>
      <w:pPr>
        <w:pStyle w:val="BodyText"/>
      </w:pPr>
      <w:r>
        <w:rPr>
          <w:b/>
          <w:bCs/>
        </w:rPr>
        <w:t xml:space="preserve">url_role:</w:t>
      </w:r>
      <w:r>
        <w:t xml:space="preserve"> </w:t>
      </w:r>
      <w:r>
        <w:t xml:space="preserve">Specialist orientation; not the directly consulted primary witness</w:t>
      </w:r>
    </w:p>
    <w:p>
      <w:pPr>
        <w:pStyle w:val="Heading3"/>
      </w:pPr>
      <w:r>
        <w:t xml:space="preserve">RD-ERI-PRESSURE — John Scottus Eriugena</w:t>
      </w:r>
    </w:p>
    <w:p>
      <w:pPr>
        <w:pStyle w:val="FirstParagraph"/>
      </w:pPr>
      <w:r>
        <w:rPr>
          <w:b/>
          <w:bCs/>
        </w:rPr>
        <w:t xml:space="preserve">id:</w:t>
      </w:r>
      <w:r>
        <w:t xml:space="preserve"> </w:t>
      </w:r>
      <w:r>
        <w:t xml:space="preserve">RD-ERI-PRESSURE</w:t>
      </w:r>
    </w:p>
    <w:p>
      <w:pPr>
        <w:pStyle w:val="BodyText"/>
      </w:pPr>
      <w:r>
        <w:rPr>
          <w:b/>
          <w:bCs/>
        </w:rPr>
        <w:t xml:space="preserve">author:</w:t>
      </w:r>
      <w:r>
        <w:t xml:space="preserve"> </w:t>
      </w:r>
      <w:r>
        <w:t xml:space="preserve">John Scottus Eriugena</w:t>
      </w:r>
    </w:p>
    <w:p>
      <w:pPr>
        <w:pStyle w:val="BodyText"/>
      </w:pPr>
      <w:r>
        <w:rPr>
          <w:b/>
          <w:bCs/>
        </w:rPr>
        <w:t xml:space="preserve">title:</w:t>
      </w:r>
      <w:r>
        <w:t xml:space="preserve"> </w:t>
      </w:r>
      <w:r>
        <w:t xml:space="preserve">Periphyseon (The Division of Nature)</w:t>
      </w:r>
    </w:p>
    <w:p>
      <w:pPr>
        <w:pStyle w:val="BodyText"/>
      </w:pPr>
      <w:r>
        <w:rPr>
          <w:b/>
          <w:bCs/>
        </w:rPr>
        <w:t xml:space="preserve">locus:</w:t>
      </w:r>
      <w:r>
        <w:t xml:space="preserve"> </w:t>
      </w:r>
      <w:r>
        <w:t xml:space="preserve">III.678C–D, p. 305; II.589B, pp. 195–196; III.689B, pp. 317–318 (inherited E5–E8)</w:t>
      </w:r>
    </w:p>
    <w:p>
      <w:pPr>
        <w:pStyle w:val="BodyText"/>
      </w:pPr>
      <w:r>
        <w:rPr>
          <w:b/>
          <w:bCs/>
        </w:rPr>
        <w:t xml:space="preserve">url:</w:t>
      </w:r>
      <w:r>
        <w:t xml:space="preserve"> </w:t>
      </w:r>
      <w:r>
        <w:t xml:space="preserve">https:/​/​plato.​stanford.​edu/​entries/​scottus-​eriugena/​</w:t>
      </w:r>
    </w:p>
    <w:p>
      <w:pPr>
        <w:pStyle w:val="BodyText"/>
      </w:pPr>
      <w:r>
        <w:rPr>
          <w:b/>
          <w:bCs/>
        </w:rPr>
        <w:t xml:space="preserve">status:</w:t>
      </w:r>
      <w:r>
        <w:t xml:space="preserve"> </w:t>
      </w:r>
      <w:r>
        <w:t xml:space="preserve">Inherited supplied primary quotations; no fresh complete critical-edition collation.</w:t>
      </w:r>
    </w:p>
    <w:p>
      <w:pPr>
        <w:pStyle w:val="BodyText"/>
      </w:pPr>
      <w:r>
        <w:rPr>
          <w:b/>
          <w:bCs/>
        </w:rPr>
        <w:t xml:space="preserve">edition:</w:t>
      </w:r>
      <w:r>
        <w:t xml:space="preserve"> </w:t>
      </w:r>
      <w:r>
        <w:t xml:space="preserve">Sheldon-Williams/O’Meara translation, 1987.</w:t>
      </w:r>
    </w:p>
    <w:p>
      <w:pPr>
        <w:pStyle w:val="BodyText"/>
      </w:pPr>
      <w:r>
        <w:rPr>
          <w:b/>
          <w:bCs/>
        </w:rPr>
        <w:t xml:space="preserve">claim:</w:t>
      </w:r>
      <w:r>
        <w:t xml:space="preserve"> </w:t>
      </w:r>
      <w:r>
        <w:t xml:space="preserve">Strong unity language and determinate self-knowing through theophany create an interpretive tension.</w:t>
      </w:r>
    </w:p>
    <w:p>
      <w:pPr>
        <w:pStyle w:val="BodyText"/>
      </w:pPr>
      <w:r>
        <w:rPr>
          <w:b/>
          <w:bCs/>
        </w:rPr>
        <w:t xml:space="preserve">establishes:</w:t>
      </w:r>
      <w:r>
        <w:t xml:space="preserve"> </w:t>
      </w:r>
      <w:r>
        <w:t xml:space="preserve">The adopted account must explicitly refuse numerical God–creature identity and completion of God by creation if either is required by the historical text.</w:t>
      </w:r>
    </w:p>
    <w:p>
      <w:pPr>
        <w:pStyle w:val="BodyText"/>
      </w:pPr>
      <w:r>
        <w:rPr>
          <w:b/>
          <w:bCs/>
        </w:rPr>
        <w:t xml:space="preserve">limit:</w:t>
      </w:r>
      <w:r>
        <w:t xml:space="preserve"> </w:t>
      </w:r>
      <w:r>
        <w:t xml:space="preserve">Do not harmonize away the strong wording. Preserve “as it were” and “in something” in III.689B. III.678D says the immediate unity passage is not about the Incarnation.</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inherited</w:t>
      </w:r>
    </w:p>
    <w:p>
      <w:pPr>
        <w:pStyle w:val="BodyText"/>
      </w:pPr>
      <w:r>
        <w:rPr>
          <w:b/>
          <w:bCs/>
        </w:rPr>
        <w:t xml:space="preserve">url_role:</w:t>
      </w:r>
      <w:r>
        <w:t xml:space="preserve"> </w:t>
      </w:r>
      <w:r>
        <w:t xml:space="preserve">Specialist orientation; not the directly consulted primary witness</w:t>
      </w:r>
    </w:p>
    <w:p>
      <w:pPr>
        <w:pStyle w:val="Heading3"/>
      </w:pPr>
      <w:r>
        <w:t xml:space="preserve">RD-ERI-SEP — Dermot Moran</w:t>
      </w:r>
    </w:p>
    <w:p>
      <w:pPr>
        <w:pStyle w:val="FirstParagraph"/>
      </w:pPr>
      <w:r>
        <w:rPr>
          <w:b/>
          <w:bCs/>
        </w:rPr>
        <w:t xml:space="preserve">id:</w:t>
      </w:r>
      <w:r>
        <w:t xml:space="preserve"> </w:t>
      </w:r>
      <w:r>
        <w:t xml:space="preserve">RD-ERI-SEP</w:t>
      </w:r>
    </w:p>
    <w:p>
      <w:pPr>
        <w:pStyle w:val="BodyText"/>
      </w:pPr>
      <w:r>
        <w:rPr>
          <w:b/>
          <w:bCs/>
        </w:rPr>
        <w:t xml:space="preserve">author:</w:t>
      </w:r>
      <w:r>
        <w:t xml:space="preserve"> </w:t>
      </w:r>
      <w:r>
        <w:t xml:space="preserve">Dermot Moran</w:t>
      </w:r>
    </w:p>
    <w:p>
      <w:pPr>
        <w:pStyle w:val="BodyText"/>
      </w:pPr>
      <w:r>
        <w:rPr>
          <w:b/>
          <w:bCs/>
        </w:rPr>
        <w:t xml:space="preserve">title:</w:t>
      </w:r>
      <w:r>
        <w:t xml:space="preserve"> </w:t>
      </w:r>
      <w:r>
        <w:t xml:space="preserve">John Scottus Eriugena, Stanford Encyclopedia of Philosophy</w:t>
      </w:r>
    </w:p>
    <w:p>
      <w:pPr>
        <w:pStyle w:val="BodyText"/>
      </w:pPr>
      <w:r>
        <w:rPr>
          <w:b/>
          <w:bCs/>
        </w:rPr>
        <w:t xml:space="preserve">locus:</w:t>
      </w:r>
      <w:r>
        <w:t xml:space="preserve"> </w:t>
      </w:r>
      <w:r>
        <w:t xml:space="preserve">§§3.3–3.4; selected §3.9 passages on human nature and unity</w:t>
      </w:r>
    </w:p>
    <w:p>
      <w:pPr>
        <w:pStyle w:val="BodyText"/>
      </w:pPr>
      <w:r>
        <w:rPr>
          <w:b/>
          <w:bCs/>
        </w:rPr>
        <w:t xml:space="preserve">url:</w:t>
      </w:r>
      <w:r>
        <w:t xml:space="preserve"> </w:t>
      </w:r>
      <w:r>
        <w:t xml:space="preserve">https:/​/​plato.​stanford.​edu/​entries/​scottus-​eriugena/​</w:t>
      </w:r>
    </w:p>
    <w:p>
      <w:pPr>
        <w:pStyle w:val="BodyText"/>
      </w:pPr>
      <w:r>
        <w:rPr>
          <w:b/>
          <w:bCs/>
        </w:rPr>
        <w:t xml:space="preserve">status:</w:t>
      </w:r>
      <w:r>
        <w:t xml:space="preserve"> </w:t>
      </w:r>
      <w:r>
        <w:t xml:space="preserve">Fresh publisher consultation of selected passages, 12 October 2026.</w:t>
      </w:r>
    </w:p>
    <w:p>
      <w:pPr>
        <w:pStyle w:val="BodyText"/>
      </w:pPr>
      <w:r>
        <w:rPr>
          <w:b/>
          <w:bCs/>
        </w:rPr>
        <w:t xml:space="preserve">edition:</w:t>
      </w:r>
      <w:r>
        <w:t xml:space="preserve"> </w:t>
      </w:r>
      <w:r>
        <w:t xml:space="preserve">Substantive revision 30 October 2019; current publisher text.</w:t>
      </w:r>
    </w:p>
    <w:p>
      <w:pPr>
        <w:pStyle w:val="BodyText"/>
      </w:pPr>
      <w:r>
        <w:rPr>
          <w:b/>
          <w:bCs/>
        </w:rPr>
        <w:t xml:space="preserve">claim:</w:t>
      </w:r>
      <w:r>
        <w:t xml:space="preserve"> </w:t>
      </w:r>
      <w:r>
        <w:t xml:space="preserve">Categorical transcendence, theophanic self-manifestation, and Creator/created distinction coexist with strong unity language.</w:t>
      </w:r>
    </w:p>
    <w:p>
      <w:pPr>
        <w:pStyle w:val="BodyText"/>
      </w:pPr>
      <w:r>
        <w:rPr>
          <w:b/>
          <w:bCs/>
        </w:rPr>
        <w:t xml:space="preserve">establishes:</w:t>
      </w:r>
      <w:r>
        <w:t xml:space="preserve"> </w:t>
      </w:r>
      <w:r>
        <w:t xml:space="preserve">Confirms the need for critical retrieval rather than an effortless historical synthesis; provides I.455B and IV.796B as primary leads.</w:t>
      </w:r>
    </w:p>
    <w:p>
      <w:pPr>
        <w:pStyle w:val="BodyText"/>
      </w:pPr>
      <w:r>
        <w:rPr>
          <w:b/>
          <w:bCs/>
        </w:rPr>
        <w:t xml:space="preserve">limit:</w:t>
      </w:r>
      <w:r>
        <w:t xml:space="preserve"> </w:t>
      </w:r>
      <w:r>
        <w:t xml:space="preserve">I.455B and IV.796B are secondary-located in this pass, not directly collated primary quotations. The article offers an interpretation that must be distinguished from the project’s constructive choice.</w:t>
      </w:r>
    </w:p>
    <w:p>
      <w:pPr>
        <w:pStyle w:val="BodyText"/>
      </w:pPr>
      <w:r>
        <w:rPr>
          <w:b/>
          <w:bCs/>
        </w:rPr>
        <w:t xml:space="preserve">source_type:</w:t>
      </w:r>
      <w:r>
        <w:t xml:space="preserve"> </w:t>
      </w:r>
      <w:r>
        <w:t xml:space="preserve">secondary</w:t>
      </w:r>
    </w:p>
    <w:p>
      <w:pPr>
        <w:pStyle w:val="BodyText"/>
      </w:pPr>
      <w:r>
        <w:rPr>
          <w:b/>
          <w:bCs/>
        </w:rPr>
        <w:t xml:space="preserve">consultation_class:</w:t>
      </w:r>
      <w:r>
        <w:t xml:space="preserve"> </w:t>
      </w:r>
      <w:r>
        <w:t xml:space="preserve">secondary</w:t>
      </w:r>
    </w:p>
    <w:p>
      <w:pPr>
        <w:pStyle w:val="Heading3"/>
      </w:pPr>
      <w:r>
        <w:t xml:space="preserve">RX-CV — Benedict XVI (Joseph Ratzinger)</w:t>
      </w:r>
    </w:p>
    <w:p>
      <w:pPr>
        <w:pStyle w:val="FirstParagraph"/>
      </w:pPr>
      <w:r>
        <w:rPr>
          <w:b/>
          <w:bCs/>
        </w:rPr>
        <w:t xml:space="preserve">id:</w:t>
      </w:r>
      <w:r>
        <w:t xml:space="preserve"> </w:t>
      </w:r>
      <w:r>
        <w:t xml:space="preserve">RX-CV</w:t>
      </w:r>
    </w:p>
    <w:p>
      <w:pPr>
        <w:pStyle w:val="BodyText"/>
      </w:pPr>
      <w:r>
        <w:rPr>
          <w:b/>
          <w:bCs/>
        </w:rPr>
        <w:t xml:space="preserve">author:</w:t>
      </w:r>
      <w:r>
        <w:t xml:space="preserve"> </w:t>
      </w:r>
      <w:r>
        <w:t xml:space="preserve">Benedict XVI (Joseph Ratzinger)</w:t>
      </w:r>
    </w:p>
    <w:p>
      <w:pPr>
        <w:pStyle w:val="BodyText"/>
      </w:pPr>
      <w:r>
        <w:rPr>
          <w:b/>
          <w:bCs/>
        </w:rPr>
        <w:t xml:space="preserve">title:</w:t>
      </w:r>
      <w:r>
        <w:t xml:space="preserve"> </w:t>
      </w:r>
      <w:r>
        <w:t xml:space="preserve">Caritas in veritate</w:t>
      </w:r>
    </w:p>
    <w:p>
      <w:pPr>
        <w:pStyle w:val="BodyText"/>
      </w:pPr>
      <w:r>
        <w:rPr>
          <w:b/>
          <w:bCs/>
        </w:rPr>
        <w:t xml:space="preserve">locus:</w:t>
      </w:r>
      <w:r>
        <w:t xml:space="preserve"> </w:t>
      </w:r>
      <w:r>
        <w:t xml:space="preserve">§§2–5, 52–55; especially §§53–54</w:t>
      </w:r>
    </w:p>
    <w:p>
      <w:pPr>
        <w:pStyle w:val="BodyText"/>
      </w:pPr>
      <w:r>
        <w:rPr>
          <w:b/>
          <w:bCs/>
        </w:rPr>
        <w:t xml:space="preserve">url:</w:t>
      </w:r>
      <w:r>
        <w:t xml:space="preserve"> </w:t>
      </w:r>
      <w:r>
        <w:t xml:space="preserve">https:/​/​www.​vatican.​va/​content/​benedict-​xvi/​en/​encyclicals/​documents/​hf_​ben-​xvi_​enc_​20090629_​caritas-​in-​veritate.​html</w:t>
      </w:r>
    </w:p>
    <w:p>
      <w:pPr>
        <w:pStyle w:val="BodyText"/>
      </w:pPr>
      <w:r>
        <w:rPr>
          <w:b/>
          <w:bCs/>
        </w:rPr>
        <w:t xml:space="preserve">consulted_url:</w:t>
      </w:r>
      <w:r>
        <w:t xml:space="preserve"> </w:t>
      </w:r>
      <w:r>
        <w:t xml:space="preserve">https:/​/​raw.​githubusercontent.​com/​jackransomlovell/​popes/​master/​encyclicals_​texts/​Benedict%20XVI/​Caritas%20in%20veritate%20%28June%2029%2C%202009%29%20%20BENEDICT%20XVI.​txt</w:t>
      </w:r>
    </w:p>
    <w:p>
      <w:pPr>
        <w:pStyle w:val="BodyText"/>
      </w:pPr>
      <w:r>
        <w:rPr>
          <w:b/>
          <w:bCs/>
        </w:rPr>
        <w:t xml:space="preserve">status:</w:t>
      </w:r>
      <w:r>
        <w:t xml:space="preserve"> </w:t>
      </w:r>
      <w:r>
        <w:t xml:space="preserve">consulted-primary-transcript</w:t>
      </w:r>
    </w:p>
    <w:p>
      <w:pPr>
        <w:pStyle w:val="BodyText"/>
      </w:pPr>
      <w:r>
        <w:rPr>
          <w:b/>
          <w:bCs/>
        </w:rPr>
        <w:t xml:space="preserve">edition:</w:t>
      </w:r>
      <w:r>
        <w:t xml:space="preserve"> </w:t>
      </w:r>
      <w:r>
        <w:t xml:space="preserve">Official English text represented by an unofficial Vatican-scraping transcript; 29 June 2009. Official endpoint inaccessible and not line-collated.</w:t>
      </w:r>
    </w:p>
    <w:p>
      <w:pPr>
        <w:pStyle w:val="BodyText"/>
      </w:pPr>
      <w:r>
        <w:rPr>
          <w:b/>
          <w:bCs/>
        </w:rPr>
        <w:t xml:space="preserve">claim:</w:t>
      </w:r>
      <w:r>
        <w:t xml:space="preserve"> </w:t>
      </w:r>
      <w:r>
        <w:t xml:space="preserve">Metaphysical evaluation of relation; unity and openness can preserve personal and cultural identity; charity requires truth.</w:t>
      </w:r>
    </w:p>
    <w:p>
      <w:pPr>
        <w:pStyle w:val="BodyText"/>
      </w:pPr>
      <w:r>
        <w:rPr>
          <w:b/>
          <w:bCs/>
        </w:rPr>
        <w:t xml:space="preserve">establishes:</w:t>
      </w:r>
      <w:r>
        <w:t xml:space="preserve"> </w:t>
      </w:r>
      <w:r>
        <w:t xml:space="preserve">Theological and social affirmation of communion that preserves persons; a reason to examine real relations without counting every personal difference as a constituent part.</w:t>
      </w:r>
    </w:p>
    <w:p>
      <w:pPr>
        <w:pStyle w:val="BodyText"/>
      </w:pPr>
      <w:r>
        <w:rPr>
          <w:b/>
          <w:bCs/>
        </w:rPr>
        <w:t xml:space="preserve">limit:</w:t>
      </w:r>
      <w:r>
        <w:t xml:space="preserve"> </w:t>
      </w:r>
      <w:r>
        <w:t xml:space="preserve">Does not prove how divine action can be free while God remains intrinsically unchanged. Human growth through relationships does not establish divine change. Trinitarian personal origins are not alternative acts of creation.</w:t>
      </w:r>
    </w:p>
    <w:p>
      <w:pPr>
        <w:pStyle w:val="BodyText"/>
      </w:pPr>
      <w:r>
        <w:rPr>
          <w:b/>
          <w:bCs/>
        </w:rPr>
        <w:t xml:space="preserve">quote:</w:t>
      </w:r>
      <w:r>
        <w:t xml:space="preserve"> </w:t>
      </w:r>
      <w:r>
        <w:t xml:space="preserve">true openness does not mean loss of individual identity</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direct</w:t>
      </w:r>
    </w:p>
    <w:p>
      <w:pPr>
        <w:pStyle w:val="BodyText"/>
      </w:pPr>
      <w:r>
        <w:rPr>
          <w:b/>
          <w:bCs/>
        </w:rPr>
        <w:t xml:space="preserve">url_role:</w:t>
      </w:r>
      <w:r>
        <w:t xml:space="preserve"> </w:t>
      </w:r>
      <w:r>
        <w:t xml:space="preserve">Official reading address; access was blocked in this consultation</w:t>
      </w:r>
    </w:p>
    <w:p>
      <w:pPr>
        <w:pStyle w:val="Heading3"/>
      </w:pPr>
      <w:r>
        <w:t xml:space="preserve">RX-DCE — Benedict XVI (Joseph Ratzinger)</w:t>
      </w:r>
    </w:p>
    <w:p>
      <w:pPr>
        <w:pStyle w:val="FirstParagraph"/>
      </w:pPr>
      <w:r>
        <w:rPr>
          <w:b/>
          <w:bCs/>
        </w:rPr>
        <w:t xml:space="preserve">id:</w:t>
      </w:r>
      <w:r>
        <w:t xml:space="preserve"> </w:t>
      </w:r>
      <w:r>
        <w:t xml:space="preserve">RX-DCE</w:t>
      </w:r>
    </w:p>
    <w:p>
      <w:pPr>
        <w:pStyle w:val="BodyText"/>
      </w:pPr>
      <w:r>
        <w:rPr>
          <w:b/>
          <w:bCs/>
        </w:rPr>
        <w:t xml:space="preserve">author:</w:t>
      </w:r>
      <w:r>
        <w:t xml:space="preserve"> </w:t>
      </w:r>
      <w:r>
        <w:t xml:space="preserve">Benedict XVI (Joseph Ratzinger)</w:t>
      </w:r>
    </w:p>
    <w:p>
      <w:pPr>
        <w:pStyle w:val="BodyText"/>
      </w:pPr>
      <w:r>
        <w:rPr>
          <w:b/>
          <w:bCs/>
        </w:rPr>
        <w:t xml:space="preserve">title:</w:t>
      </w:r>
      <w:r>
        <w:t xml:space="preserve"> </w:t>
      </w:r>
      <w:r>
        <w:t xml:space="preserve">Deus caritas est</w:t>
      </w:r>
    </w:p>
    <w:p>
      <w:pPr>
        <w:pStyle w:val="BodyText"/>
      </w:pPr>
      <w:r>
        <w:rPr>
          <w:b/>
          <w:bCs/>
        </w:rPr>
        <w:t xml:space="preserve">locus:</w:t>
      </w:r>
      <w:r>
        <w:t xml:space="preserve"> </w:t>
      </w:r>
      <w:r>
        <w:t xml:space="preserve">§§9–10; especially §10</w:t>
      </w:r>
    </w:p>
    <w:p>
      <w:pPr>
        <w:pStyle w:val="BodyText"/>
      </w:pPr>
      <w:r>
        <w:rPr>
          <w:b/>
          <w:bCs/>
        </w:rPr>
        <w:t xml:space="preserve">url:</w:t>
      </w:r>
      <w:r>
        <w:t xml:space="preserve"> </w:t>
      </w:r>
      <w:r>
        <w:t xml:space="preserve">https:/​/​www.​vatican.​va/​content/​benedict-​xvi/​en/​encyclicals/​documents/​hf_​ben-​xvi_​enc_​20051225_​deus-​caritas-​est.​html</w:t>
      </w:r>
    </w:p>
    <w:p>
      <w:pPr>
        <w:pStyle w:val="BodyText"/>
      </w:pPr>
      <w:r>
        <w:rPr>
          <w:b/>
          <w:bCs/>
        </w:rPr>
        <w:t xml:space="preserve">consulted_url:</w:t>
      </w:r>
      <w:r>
        <w:t xml:space="preserve"> </w:t>
      </w:r>
      <w:r>
        <w:t xml:space="preserve">https:/​/​raw.​githubusercontent.​com/​jackransomlovell/​popes/​master/​encyclicals_​texts/​Benedict%20XVI/​Deus%20caritas%20est%20%28December%2025%2C%202005%29%20%20BENEDICT%20XVI.​txt</w:t>
      </w:r>
    </w:p>
    <w:p>
      <w:pPr>
        <w:pStyle w:val="BodyText"/>
      </w:pPr>
      <w:r>
        <w:rPr>
          <w:b/>
          <w:bCs/>
        </w:rPr>
        <w:t xml:space="preserve">status:</w:t>
      </w:r>
      <w:r>
        <w:t xml:space="preserve"> </w:t>
      </w:r>
      <w:r>
        <w:t xml:space="preserve">consulted-primary-transcript</w:t>
      </w:r>
    </w:p>
    <w:p>
      <w:pPr>
        <w:pStyle w:val="BodyText"/>
      </w:pPr>
      <w:r>
        <w:rPr>
          <w:b/>
          <w:bCs/>
        </w:rPr>
        <w:t xml:space="preserve">edition:</w:t>
      </w:r>
      <w:r>
        <w:t xml:space="preserve"> </w:t>
      </w:r>
      <w:r>
        <w:t xml:space="preserve">Official English text represented by an unofficial Vatican-scraping transcript; 25 December 2005. Official endpoint inaccessible and not line-collated.</w:t>
      </w:r>
    </w:p>
    <w:p>
      <w:pPr>
        <w:pStyle w:val="BodyText"/>
      </w:pPr>
      <w:r>
        <w:rPr>
          <w:b/>
          <w:bCs/>
        </w:rPr>
        <w:t xml:space="preserve">claim:</w:t>
      </w:r>
      <w:r>
        <w:t xml:space="preserve"> </w:t>
      </w:r>
      <w:r>
        <w:t xml:space="preserve">Universal divine source as Logos and personal love; communion does not dissolve God/creature distinction.</w:t>
      </w:r>
    </w:p>
    <w:p>
      <w:pPr>
        <w:pStyle w:val="BodyText"/>
      </w:pPr>
      <w:r>
        <w:rPr>
          <w:b/>
          <w:bCs/>
        </w:rPr>
        <w:t xml:space="preserve">establishes:</w:t>
      </w:r>
      <w:r>
        <w:t xml:space="preserve"> </w:t>
      </w:r>
      <w:r>
        <w:t xml:space="preserve">Christian theological conjunction of intelligibility, willed creation, elective love, and union without fusion.</w:t>
      </w:r>
    </w:p>
    <w:p>
      <w:pPr>
        <w:pStyle w:val="BodyText"/>
      </w:pPr>
      <w:r>
        <w:rPr>
          <w:b/>
          <w:bCs/>
        </w:rPr>
        <w:t xml:space="preserve">limit:</w:t>
      </w:r>
      <w:r>
        <w:t xml:space="preserve"> </w:t>
      </w:r>
      <w:r>
        <w:t xml:space="preserve">Does not establish contingency or explain what makes a particular divine action actual. Biblical language does not prove intrinsic divine change; the contrast with Aristotle is not a complete historical assessment.</w:t>
      </w:r>
    </w:p>
    <w:p>
      <w:pPr>
        <w:pStyle w:val="BodyText"/>
      </w:pPr>
      <w:r>
        <w:rPr>
          <w:b/>
          <w:bCs/>
        </w:rPr>
        <w:t xml:space="preserve">quote:</w:t>
      </w:r>
      <w:r>
        <w:t xml:space="preserve"> </w:t>
      </w:r>
      <w:r>
        <w:t xml:space="preserve">both God and man remain themselves and yet become fully one</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direct</w:t>
      </w:r>
    </w:p>
    <w:p>
      <w:pPr>
        <w:pStyle w:val="BodyText"/>
      </w:pPr>
      <w:r>
        <w:rPr>
          <w:b/>
          <w:bCs/>
        </w:rPr>
        <w:t xml:space="preserve">url_role:</w:t>
      </w:r>
      <w:r>
        <w:t xml:space="preserve"> </w:t>
      </w:r>
      <w:r>
        <w:t xml:space="preserve">Official reading address; access was blocked in this consultation</w:t>
      </w:r>
    </w:p>
    <w:p>
      <w:pPr>
        <w:pStyle w:val="Heading3"/>
      </w:pPr>
      <w:r>
        <w:t xml:space="preserve">RX-SS — Benedict XVI (Joseph Ratzinger)</w:t>
      </w:r>
    </w:p>
    <w:p>
      <w:pPr>
        <w:pStyle w:val="FirstParagraph"/>
      </w:pPr>
      <w:r>
        <w:rPr>
          <w:b/>
          <w:bCs/>
        </w:rPr>
        <w:t xml:space="preserve">id:</w:t>
      </w:r>
      <w:r>
        <w:t xml:space="preserve"> </w:t>
      </w:r>
      <w:r>
        <w:t xml:space="preserve">RX-SS</w:t>
      </w:r>
    </w:p>
    <w:p>
      <w:pPr>
        <w:pStyle w:val="BodyText"/>
      </w:pPr>
      <w:r>
        <w:rPr>
          <w:b/>
          <w:bCs/>
        </w:rPr>
        <w:t xml:space="preserve">author:</w:t>
      </w:r>
      <w:r>
        <w:t xml:space="preserve"> </w:t>
      </w:r>
      <w:r>
        <w:t xml:space="preserve">Benedict XVI (Joseph Ratzinger)</w:t>
      </w:r>
    </w:p>
    <w:p>
      <w:pPr>
        <w:pStyle w:val="BodyText"/>
      </w:pPr>
      <w:r>
        <w:rPr>
          <w:b/>
          <w:bCs/>
        </w:rPr>
        <w:t xml:space="preserve">title:</w:t>
      </w:r>
      <w:r>
        <w:t xml:space="preserve"> </w:t>
      </w:r>
      <w:r>
        <w:t xml:space="preserve">Spe salvi</w:t>
      </w:r>
    </w:p>
    <w:p>
      <w:pPr>
        <w:pStyle w:val="BodyText"/>
      </w:pPr>
      <w:r>
        <w:rPr>
          <w:b/>
          <w:bCs/>
        </w:rPr>
        <w:t xml:space="preserve">locus:</w:t>
      </w:r>
      <w:r>
        <w:t xml:space="preserve"> </w:t>
      </w:r>
      <w:r>
        <w:t xml:space="preserve">§§14–15</w:t>
      </w:r>
    </w:p>
    <w:p>
      <w:pPr>
        <w:pStyle w:val="BodyText"/>
      </w:pPr>
      <w:r>
        <w:rPr>
          <w:b/>
          <w:bCs/>
        </w:rPr>
        <w:t xml:space="preserve">url:</w:t>
      </w:r>
      <w:r>
        <w:t xml:space="preserve"> </w:t>
      </w:r>
      <w:r>
        <w:t xml:space="preserve">https:/​/​www.​vatican.​va/​content/​benedict-​xvi/​en/​encyclicals/​documents/​hf_​ben-​xvi_​enc_​20071130_​spe-​salvi.​html</w:t>
      </w:r>
    </w:p>
    <w:p>
      <w:pPr>
        <w:pStyle w:val="BodyText"/>
      </w:pPr>
      <w:r>
        <w:rPr>
          <w:b/>
          <w:bCs/>
        </w:rPr>
        <w:t xml:space="preserve">consulted_url:</w:t>
      </w:r>
      <w:r>
        <w:t xml:space="preserve"> </w:t>
      </w:r>
      <w:r>
        <w:t xml:space="preserve">https:/​/​raw.​githubusercontent.​com/​jackransomlovell/​popes/​master/​encyclicals_​texts/​Benedict%20XVI/​Spe%20salvi%20%28November%2030%2C%202007%29%20%20BENEDICT%20XVI.​txt</w:t>
      </w:r>
    </w:p>
    <w:p>
      <w:pPr>
        <w:pStyle w:val="BodyText"/>
      </w:pPr>
      <w:r>
        <w:rPr>
          <w:b/>
          <w:bCs/>
        </w:rPr>
        <w:t xml:space="preserve">status:</w:t>
      </w:r>
      <w:r>
        <w:t xml:space="preserve"> </w:t>
      </w:r>
      <w:r>
        <w:t xml:space="preserve">consulted-primary-transcript</w:t>
      </w:r>
    </w:p>
    <w:p>
      <w:pPr>
        <w:pStyle w:val="BodyText"/>
      </w:pPr>
      <w:r>
        <w:rPr>
          <w:b/>
          <w:bCs/>
        </w:rPr>
        <w:t xml:space="preserve">edition:</w:t>
      </w:r>
      <w:r>
        <w:t xml:space="preserve"> </w:t>
      </w:r>
      <w:r>
        <w:t xml:space="preserve">Official English text represented by an unofficial Vatican-scraping transcript; 30 November 2007. Official endpoint inaccessible and not line-collated.</w:t>
      </w:r>
    </w:p>
    <w:p>
      <w:pPr>
        <w:pStyle w:val="BodyText"/>
      </w:pPr>
      <w:r>
        <w:rPr>
          <w:b/>
          <w:bCs/>
        </w:rPr>
        <w:t xml:space="preserve">claim:</w:t>
      </w:r>
      <w:r>
        <w:t xml:space="preserve"> </w:t>
      </w:r>
      <w:r>
        <w:t xml:space="preserve">Communal salvation and embodied historical responsibility.</w:t>
      </w:r>
    </w:p>
    <w:p>
      <w:pPr>
        <w:pStyle w:val="BodyText"/>
      </w:pPr>
      <w:r>
        <w:rPr>
          <w:b/>
          <w:bCs/>
        </w:rPr>
        <w:t xml:space="preserve">establishes:</w:t>
      </w:r>
      <w:r>
        <w:t xml:space="preserve"> </w:t>
      </w:r>
      <w:r>
        <w:t xml:space="preserve">Theological application: communion has communal and practical scope rather than isolated absorption into an absolute.</w:t>
      </w:r>
    </w:p>
    <w:p>
      <w:pPr>
        <w:pStyle w:val="BodyText"/>
      </w:pPr>
      <w:r>
        <w:rPr>
          <w:b/>
          <w:bCs/>
        </w:rPr>
        <w:t xml:space="preserve">limit:</w:t>
      </w:r>
      <w:r>
        <w:t xml:space="preserve"> </w:t>
      </w:r>
      <w:r>
        <w:t xml:space="preserve">Not an independent metaphysical bridge to divine simplicity, freedom, or knowledge without learning from effects.</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direct</w:t>
      </w:r>
    </w:p>
    <w:p>
      <w:pPr>
        <w:pStyle w:val="BodyText"/>
      </w:pPr>
      <w:r>
        <w:rPr>
          <w:b/>
          <w:bCs/>
        </w:rPr>
        <w:t xml:space="preserve">url_role:</w:t>
      </w:r>
      <w:r>
        <w:t xml:space="preserve"> </w:t>
      </w:r>
      <w:r>
        <w:t xml:space="preserve">Official reading address; access was blocked in this consultation</w:t>
      </w:r>
    </w:p>
    <w:p>
      <w:pPr>
        <w:pStyle w:val="Heading3"/>
      </w:pPr>
      <w:r>
        <w:t xml:space="preserve">RX-PERSON — Joseph Ratzinger</w:t>
      </w:r>
    </w:p>
    <w:p>
      <w:pPr>
        <w:pStyle w:val="FirstParagraph"/>
      </w:pPr>
      <w:r>
        <w:rPr>
          <w:b/>
          <w:bCs/>
        </w:rPr>
        <w:t xml:space="preserve">id:</w:t>
      </w:r>
      <w:r>
        <w:t xml:space="preserve"> </w:t>
      </w:r>
      <w:r>
        <w:t xml:space="preserve">RX-PERSON</w:t>
      </w:r>
    </w:p>
    <w:p>
      <w:pPr>
        <w:pStyle w:val="BodyText"/>
      </w:pPr>
      <w:r>
        <w:rPr>
          <w:b/>
          <w:bCs/>
        </w:rPr>
        <w:t xml:space="preserve">author:</w:t>
      </w:r>
      <w:r>
        <w:t xml:space="preserve"> </w:t>
      </w:r>
      <w:r>
        <w:t xml:space="preserve">Joseph Ratzinger</w:t>
      </w:r>
    </w:p>
    <w:p>
      <w:pPr>
        <w:pStyle w:val="BodyText"/>
      </w:pPr>
      <w:r>
        <w:rPr>
          <w:b/>
          <w:bCs/>
        </w:rPr>
        <w:t xml:space="preserve">title:</w:t>
      </w:r>
      <w:r>
        <w:t xml:space="preserve"> </w:t>
      </w:r>
      <w:r>
        <w:t xml:space="preserve">Concerning the Notion of Person in Theology</w:t>
      </w:r>
    </w:p>
    <w:p>
      <w:pPr>
        <w:pStyle w:val="BodyText"/>
      </w:pPr>
      <w:r>
        <w:rPr>
          <w:b/>
          <w:bCs/>
        </w:rPr>
        <w:t xml:space="preserve">locus:</w:t>
      </w:r>
      <w:r>
        <w:t xml:space="preserve"> </w:t>
      </w:r>
      <w:r>
        <w:t xml:space="preserve">Communio 17 (1990), 439–454</w:t>
      </w:r>
    </w:p>
    <w:p>
      <w:pPr>
        <w:pStyle w:val="BodyText"/>
      </w:pPr>
      <w:r>
        <w:rPr>
          <w:b/>
          <w:bCs/>
        </w:rPr>
        <w:t xml:space="preserve">url:</w:t>
      </w:r>
      <w:r>
        <w:t xml:space="preserve"> </w:t>
      </w:r>
      <w:r>
        <w:t xml:space="preserve">https:/​/​www.​communio-​icr.​com/​articles/​view/​concerning-​the-​notion-​of-​person-​in-​theology</w:t>
      </w:r>
    </w:p>
    <w:p>
      <w:pPr>
        <w:pStyle w:val="BodyText"/>
      </w:pPr>
      <w:r>
        <w:rPr>
          <w:b/>
          <w:bCs/>
        </w:rPr>
        <w:t xml:space="preserve">status:</w:t>
      </w:r>
      <w:r>
        <w:t xml:space="preserve"> </w:t>
      </w:r>
      <w:r>
        <w:t xml:space="preserve">unconsulted-primary-lead</w:t>
      </w:r>
    </w:p>
    <w:p>
      <w:pPr>
        <w:pStyle w:val="BodyText"/>
      </w:pPr>
      <w:r>
        <w:rPr>
          <w:b/>
          <w:bCs/>
        </w:rPr>
        <w:t xml:space="preserve">edition:</w:t>
      </w:r>
      <w:r>
        <w:t xml:space="preserve"> </w:t>
      </w:r>
      <w:r>
        <w:t xml:space="preserve">Bibliographic lead only; publisher endpoint inaccessible.</w:t>
      </w:r>
    </w:p>
    <w:p>
      <w:pPr>
        <w:pStyle w:val="BodyText"/>
      </w:pPr>
      <w:r>
        <w:rPr>
          <w:b/>
          <w:bCs/>
        </w:rPr>
        <w:t xml:space="preserve">claim:</w:t>
      </w:r>
      <w:r>
        <w:t xml:space="preserve"> </w:t>
      </w:r>
      <w:r>
        <w:t xml:space="preserve">Potential further comparison concerning person and relation.</w:t>
      </w:r>
    </w:p>
    <w:p>
      <w:pPr>
        <w:pStyle w:val="BodyText"/>
      </w:pPr>
      <w:r>
        <w:rPr>
          <w:b/>
          <w:bCs/>
        </w:rPr>
        <w:t xml:space="preserve">establishes:</w:t>
      </w:r>
      <w:r>
        <w:t xml:space="preserve"> </w:t>
      </w:r>
      <w:r>
        <w:t xml:space="preserve">Nothing independently established by this research pass.</w:t>
      </w:r>
    </w:p>
    <w:p>
      <w:pPr>
        <w:pStyle w:val="BodyText"/>
      </w:pPr>
      <w:r>
        <w:rPr>
          <w:b/>
          <w:bCs/>
        </w:rPr>
        <w:t xml:space="preserve">limit:</w:t>
      </w:r>
      <w:r>
        <w:t xml:space="preserve"> </w:t>
      </w:r>
      <w:r>
        <w:t xml:space="preserve">Do not quote or attribute detailed technical arguments to this unconsulted essay; landing URL itself could not be verified against publisher output.</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lead</w:t>
      </w:r>
    </w:p>
    <w:p>
      <w:pPr>
        <w:pStyle w:val="BodyText"/>
      </w:pPr>
      <w:r>
        <w:rPr>
          <w:b/>
          <w:bCs/>
        </w:rPr>
        <w:t xml:space="preserve">url_role:</w:t>
      </w:r>
      <w:r>
        <w:t xml:space="preserve"> </w:t>
      </w:r>
      <w:r>
        <w:t xml:space="preserve">Unverified publisher lead</w:t>
      </w:r>
    </w:p>
    <w:p>
      <w:pPr>
        <w:pStyle w:val="Heading3"/>
      </w:pPr>
      <w:r>
        <w:t xml:space="preserve">RD-AQ-C — Thomas Aquinas</w:t>
      </w:r>
    </w:p>
    <w:p>
      <w:pPr>
        <w:pStyle w:val="FirstParagraph"/>
      </w:pPr>
      <w:r>
        <w:rPr>
          <w:b/>
          <w:bCs/>
        </w:rPr>
        <w:t xml:space="preserve">id:</w:t>
      </w:r>
      <w:r>
        <w:t xml:space="preserve"> </w:t>
      </w:r>
      <w:r>
        <w:t xml:space="preserve">RD-AQ-C</w:t>
      </w:r>
    </w:p>
    <w:p>
      <w:pPr>
        <w:pStyle w:val="BodyText"/>
      </w:pPr>
      <w:r>
        <w:rPr>
          <w:b/>
          <w:bCs/>
        </w:rPr>
        <w:t xml:space="preserve">author:</w:t>
      </w:r>
      <w:r>
        <w:t xml:space="preserve"> </w:t>
      </w:r>
      <w:r>
        <w:t xml:space="preserve">Thomas Aquinas</w:t>
      </w:r>
    </w:p>
    <w:p>
      <w:pPr>
        <w:pStyle w:val="BodyText"/>
      </w:pPr>
      <w:r>
        <w:rPr>
          <w:b/>
          <w:bCs/>
        </w:rPr>
        <w:t xml:space="preserve">title:</w:t>
      </w:r>
      <w:r>
        <w:t xml:space="preserve"> </w:t>
      </w:r>
      <w:r>
        <w:t xml:space="preserve">Summa theologiae</w:t>
      </w:r>
    </w:p>
    <w:p>
      <w:pPr>
        <w:pStyle w:val="BodyText"/>
      </w:pPr>
      <w:r>
        <w:rPr>
          <w:b/>
          <w:bCs/>
        </w:rPr>
        <w:t xml:space="preserve">locus:</w:t>
      </w:r>
      <w:r>
        <w:t xml:space="preserve"> </w:t>
      </w:r>
      <w:r>
        <w:t xml:space="preserve">I, q. 3, a. 7, respondeo</w:t>
      </w:r>
    </w:p>
    <w:p>
      <w:pPr>
        <w:pStyle w:val="BodyText"/>
      </w:pPr>
      <w:r>
        <w:rPr>
          <w:b/>
          <w:bCs/>
        </w:rPr>
        <w:t xml:space="preserve">url:</w:t>
      </w:r>
      <w:r>
        <w:t xml:space="preserve"> </w:t>
      </w:r>
      <w:r>
        <w:t xml:space="preserve">https:/​/​www.​newadvent.​org/​summa/​1003.​htm#article7</w:t>
      </w:r>
    </w:p>
    <w:p>
      <w:pPr>
        <w:pStyle w:val="BodyText"/>
      </w:pPr>
      <w:r>
        <w:rPr>
          <w:b/>
          <w:bCs/>
        </w:rPr>
        <w:t xml:space="preserve">consulted_url:</w:t>
      </w:r>
      <w:r>
        <w:t xml:space="preserve"> </w:t>
      </w:r>
      <w:r>
        <w:t xml:space="preserve">https:/​/​raw.​githubusercontent.​com/​GITenberg/​Summa-​Theologica-​Part-​I-​-​Prima-​Pars-​From-​the-​Complete-​American-​Edition_​17611/​master/​17611.​txt</w:t>
      </w:r>
    </w:p>
    <w:p>
      <w:pPr>
        <w:pStyle w:val="BodyText"/>
      </w:pPr>
      <w:r>
        <w:rPr>
          <w:b/>
          <w:bCs/>
        </w:rPr>
        <w:t xml:space="preserve">status:</w:t>
      </w:r>
      <w:r>
        <w:t xml:space="preserve"> </w:t>
      </w:r>
      <w:r>
        <w:t xml:space="preserve">Inherited directly consulted primary translation from Participation and Beyond Participation; not newly collated for page III.</w:t>
      </w:r>
    </w:p>
    <w:p>
      <w:pPr>
        <w:pStyle w:val="BodyText"/>
      </w:pPr>
      <w:r>
        <w:rPr>
          <w:b/>
          <w:bCs/>
        </w:rPr>
        <w:t xml:space="preserve">edition:</w:t>
      </w:r>
      <w:r>
        <w:t xml:space="preserve"> </w:t>
      </w:r>
      <w:r>
        <w:t xml:space="preserve">English Dominican Fathers, Complete American Edition; Gutenberg #17611 witness. New Advent is a public reading address.</w:t>
      </w:r>
    </w:p>
    <w:p>
      <w:pPr>
        <w:pStyle w:val="BodyText"/>
      </w:pPr>
      <w:r>
        <w:rPr>
          <w:b/>
          <w:bCs/>
        </w:rPr>
        <w:t xml:space="preserve">claim:</w:t>
      </w:r>
      <w:r>
        <w:t xml:space="preserve"> </w:t>
      </w:r>
      <w:r>
        <w:t xml:space="preserve">A composite depends upon the principles constituting it; divine simplicity uses several arguments.</w:t>
      </w:r>
    </w:p>
    <w:p>
      <w:pPr>
        <w:pStyle w:val="BodyText"/>
      </w:pPr>
      <w:r>
        <w:rPr>
          <w:b/>
          <w:bCs/>
        </w:rPr>
        <w:t xml:space="preserve">establishes:</w:t>
      </w:r>
      <w:r>
        <w:t xml:space="preserve"> </w:t>
      </w:r>
      <w:r>
        <w:t xml:space="preserve">A historical resource for the argument from dependence on constituents; different concepts do not by themselves establish proper parts.</w:t>
      </w:r>
    </w:p>
    <w:p>
      <w:pPr>
        <w:pStyle w:val="BodyText"/>
      </w:pPr>
      <w:r>
        <w:rPr>
          <w:b/>
          <w:bCs/>
        </w:rPr>
        <w:t xml:space="preserve">limit:</w:t>
      </w:r>
      <w:r>
        <w:t xml:space="preserve"> </w:t>
      </w:r>
      <w:r>
        <w:t xml:space="preserve">Efficient uncausedness alone does not prove full simplicity. The modern KD reconstruction is not Aquinas’s complete argument.</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inherited</w:t>
      </w:r>
    </w:p>
    <w:p>
      <w:pPr>
        <w:pStyle w:val="Heading3"/>
      </w:pPr>
      <w:r>
        <w:t xml:space="preserve">RD-AQ-K — Thomas Aquinas</w:t>
      </w:r>
    </w:p>
    <w:p>
      <w:pPr>
        <w:pStyle w:val="FirstParagraph"/>
      </w:pPr>
      <w:r>
        <w:rPr>
          <w:b/>
          <w:bCs/>
        </w:rPr>
        <w:t xml:space="preserve">id:</w:t>
      </w:r>
      <w:r>
        <w:t xml:space="preserve"> </w:t>
      </w:r>
      <w:r>
        <w:t xml:space="preserve">RD-AQ-K</w:t>
      </w:r>
    </w:p>
    <w:p>
      <w:pPr>
        <w:pStyle w:val="BodyText"/>
      </w:pPr>
      <w:r>
        <w:rPr>
          <w:b/>
          <w:bCs/>
        </w:rPr>
        <w:t xml:space="preserve">author:</w:t>
      </w:r>
      <w:r>
        <w:t xml:space="preserve"> </w:t>
      </w:r>
      <w:r>
        <w:t xml:space="preserve">Thomas Aquinas</w:t>
      </w:r>
    </w:p>
    <w:p>
      <w:pPr>
        <w:pStyle w:val="BodyText"/>
      </w:pPr>
      <w:r>
        <w:rPr>
          <w:b/>
          <w:bCs/>
        </w:rPr>
        <w:t xml:space="preserve">title:</w:t>
      </w:r>
      <w:r>
        <w:t xml:space="preserve"> </w:t>
      </w:r>
      <w:r>
        <w:t xml:space="preserve">Summa theologiae</w:t>
      </w:r>
    </w:p>
    <w:p>
      <w:pPr>
        <w:pStyle w:val="BodyText"/>
      </w:pPr>
      <w:r>
        <w:rPr>
          <w:b/>
          <w:bCs/>
        </w:rPr>
        <w:t xml:space="preserve">locus:</w:t>
      </w:r>
      <w:r>
        <w:t xml:space="preserve"> </w:t>
      </w:r>
      <w:r>
        <w:t xml:space="preserve">I, q. 14, aa. 5, 8–9; especially a. 8, respondeo and ad 1/ad 3</w:t>
      </w:r>
    </w:p>
    <w:p>
      <w:pPr>
        <w:pStyle w:val="BodyText"/>
      </w:pPr>
      <w:r>
        <w:rPr>
          <w:b/>
          <w:bCs/>
        </w:rPr>
        <w:t xml:space="preserve">url:</w:t>
      </w:r>
      <w:r>
        <w:t xml:space="preserve"> </w:t>
      </w:r>
      <w:r>
        <w:t xml:space="preserve">https:/​/​www.​newadvent.​org/​summa/​1014.​htm</w:t>
      </w:r>
    </w:p>
    <w:p>
      <w:pPr>
        <w:pStyle w:val="BodyText"/>
      </w:pPr>
      <w:r>
        <w:rPr>
          <w:b/>
          <w:bCs/>
        </w:rPr>
        <w:t xml:space="preserve">consulted_url:</w:t>
      </w:r>
      <w:r>
        <w:t xml:space="preserve"> </w:t>
      </w:r>
      <w:r>
        <w:t xml:space="preserve">https:/​/​raw.​githubusercontent.​com/​GITenberg/​Summa-​Theologica-​Part-​I-​-​Prima-​Pars-​From-​the-​Complete-​American-​Edition_​17611/​master/​17611.​txt</w:t>
      </w:r>
    </w:p>
    <w:p>
      <w:pPr>
        <w:pStyle w:val="BodyText"/>
      </w:pPr>
      <w:r>
        <w:rPr>
          <w:b/>
          <w:bCs/>
        </w:rPr>
        <w:t xml:space="preserve">status:</w:t>
      </w:r>
      <w:r>
        <w:t xml:space="preserve"> </w:t>
      </w:r>
      <w:r>
        <w:t xml:space="preserve">Inherited direct consultation of aa. 5 and 8 in Beyond Participation; a. 9 inherited from manuscript register N11, not freshly checked here.</w:t>
      </w:r>
    </w:p>
    <w:p>
      <w:pPr>
        <w:pStyle w:val="BodyText"/>
      </w:pPr>
      <w:r>
        <w:rPr>
          <w:b/>
          <w:bCs/>
        </w:rPr>
        <w:t xml:space="preserve">edition:</w:t>
      </w:r>
      <w:r>
        <w:t xml:space="preserve"> </w:t>
      </w:r>
      <w:r>
        <w:t xml:space="preserve">English Dominican Fathers translation; Gutenberg #17611 and inherited manuscript source register.</w:t>
      </w:r>
    </w:p>
    <w:p>
      <w:pPr>
        <w:pStyle w:val="BodyText"/>
      </w:pPr>
      <w:r>
        <w:rPr>
          <w:b/>
          <w:bCs/>
        </w:rPr>
        <w:t xml:space="preserve">claim:</w:t>
      </w:r>
      <w:r>
        <w:t xml:space="preserve"> </w:t>
      </w:r>
      <w:r>
        <w:t xml:space="preserve">God knows effects through himself; knowledge causes things as joined to will; possibility-knowledge differs from realization.</w:t>
      </w:r>
    </w:p>
    <w:p>
      <w:pPr>
        <w:pStyle w:val="BodyText"/>
      </w:pPr>
      <w:r>
        <w:rPr>
          <w:b/>
          <w:bCs/>
        </w:rPr>
        <w:t xml:space="preserve">establishes:</w:t>
      </w:r>
      <w:r>
        <w:t xml:space="preserve"> </w:t>
      </w:r>
      <w:r>
        <w:t xml:space="preserve">Choice, knowledge through causing, and knowledge of possibilities need distinct explanations.</w:t>
      </w:r>
    </w:p>
    <w:p>
      <w:pPr>
        <w:pStyle w:val="BodyText"/>
      </w:pPr>
      <w:r>
        <w:rPr>
          <w:b/>
          <w:bCs/>
        </w:rPr>
        <w:t xml:space="preserve">limit:</w:t>
      </w:r>
      <w:r>
        <w:t xml:space="preserve"> </w:t>
      </w:r>
      <w:r>
        <w:t xml:space="preserve">Does not independently establish God’s existence, unrestricted cognitive perfection, knowledge of a particular actual choice, or knowledge of every permitted creaturely act.</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inherited</w:t>
      </w:r>
    </w:p>
    <w:p>
      <w:pPr>
        <w:pStyle w:val="Heading3"/>
      </w:pPr>
      <w:r>
        <w:t xml:space="preserve">RD-AQ-W — Thomas Aquinas</w:t>
      </w:r>
    </w:p>
    <w:p>
      <w:pPr>
        <w:pStyle w:val="FirstParagraph"/>
      </w:pPr>
      <w:r>
        <w:rPr>
          <w:b/>
          <w:bCs/>
        </w:rPr>
        <w:t xml:space="preserve">id:</w:t>
      </w:r>
      <w:r>
        <w:t xml:space="preserve"> </w:t>
      </w:r>
      <w:r>
        <w:t xml:space="preserve">RD-AQ-W</w:t>
      </w:r>
    </w:p>
    <w:p>
      <w:pPr>
        <w:pStyle w:val="BodyText"/>
      </w:pPr>
      <w:r>
        <w:rPr>
          <w:b/>
          <w:bCs/>
        </w:rPr>
        <w:t xml:space="preserve">author:</w:t>
      </w:r>
      <w:r>
        <w:t xml:space="preserve"> </w:t>
      </w:r>
      <w:r>
        <w:t xml:space="preserve">Thomas Aquinas</w:t>
      </w:r>
    </w:p>
    <w:p>
      <w:pPr>
        <w:pStyle w:val="BodyText"/>
      </w:pPr>
      <w:r>
        <w:rPr>
          <w:b/>
          <w:bCs/>
        </w:rPr>
        <w:t xml:space="preserve">title:</w:t>
      </w:r>
      <w:r>
        <w:t xml:space="preserve"> </w:t>
      </w:r>
      <w:r>
        <w:t xml:space="preserve">Summa theologiae</w:t>
      </w:r>
    </w:p>
    <w:p>
      <w:pPr>
        <w:pStyle w:val="BodyText"/>
      </w:pPr>
      <w:r>
        <w:rPr>
          <w:b/>
          <w:bCs/>
        </w:rPr>
        <w:t xml:space="preserve">locus:</w:t>
      </w:r>
      <w:r>
        <w:t xml:space="preserve"> </w:t>
      </w:r>
      <w:r>
        <w:t xml:space="preserve">I, q. 19, aa. 2–3; a. 3, respondeo and ad 5</w:t>
      </w:r>
    </w:p>
    <w:p>
      <w:pPr>
        <w:pStyle w:val="BodyText"/>
      </w:pPr>
      <w:r>
        <w:rPr>
          <w:b/>
          <w:bCs/>
        </w:rPr>
        <w:t xml:space="preserve">url:</w:t>
      </w:r>
      <w:r>
        <w:t xml:space="preserve"> </w:t>
      </w:r>
      <w:r>
        <w:t xml:space="preserve">https:/​/​www.​newadvent.​org/​summa/​1019.​htm</w:t>
      </w:r>
    </w:p>
    <w:p>
      <w:pPr>
        <w:pStyle w:val="BodyText"/>
      </w:pPr>
      <w:r>
        <w:rPr>
          <w:b/>
          <w:bCs/>
        </w:rPr>
        <w:t xml:space="preserve">consulted_url:</w:t>
      </w:r>
      <w:r>
        <w:t xml:space="preserve"> </w:t>
      </w:r>
      <w:r>
        <w:t xml:space="preserve">https:/​/​raw.​githubusercontent.​com/​GITenberg/​Summa-​Theologica-​Part-​I-​-​Prima-​Pars-​From-​the-​Complete-​American-​Edition_​17611/​master/​17611.​txt</w:t>
      </w:r>
    </w:p>
    <w:p>
      <w:pPr>
        <w:pStyle w:val="BodyText"/>
      </w:pPr>
      <w:r>
        <w:rPr>
          <w:b/>
          <w:bCs/>
        </w:rPr>
        <w:t xml:space="preserve">status:</w:t>
      </w:r>
      <w:r>
        <w:t xml:space="preserve"> </w:t>
      </w:r>
      <w:r>
        <w:t xml:space="preserve">Inherited directly consulted primary translation from Beyond Participation; no new critical collation for page III.</w:t>
      </w:r>
    </w:p>
    <w:p>
      <w:pPr>
        <w:pStyle w:val="BodyText"/>
      </w:pPr>
      <w:r>
        <w:rPr>
          <w:b/>
          <w:bCs/>
        </w:rPr>
        <w:t xml:space="preserve">edition:</w:t>
      </w:r>
      <w:r>
        <w:t xml:space="preserve"> </w:t>
      </w:r>
      <w:r>
        <w:t xml:space="preserve">English Dominican Fathers translation; Gutenberg #17611 witness.</w:t>
      </w:r>
    </w:p>
    <w:p>
      <w:pPr>
        <w:pStyle w:val="BodyText"/>
      </w:pPr>
      <w:r>
        <w:rPr>
          <w:b/>
          <w:bCs/>
        </w:rPr>
        <w:t xml:space="preserve">claim:</w:t>
      </w:r>
      <w:r>
        <w:t xml:space="preserve"> </w:t>
      </w:r>
      <w:r>
        <w:t xml:space="preserve">Necessary willing of divine goodness does not make willing creatures absolutely necessary; divine will determines itself toward things with no necessary relation.</w:t>
      </w:r>
    </w:p>
    <w:p>
      <w:pPr>
        <w:pStyle w:val="BodyText"/>
      </w:pPr>
      <w:r>
        <w:rPr>
          <w:b/>
          <w:bCs/>
        </w:rPr>
        <w:t xml:space="preserve">establishes:</w:t>
      </w:r>
      <w:r>
        <w:t xml:space="preserve"> </w:t>
      </w:r>
      <w:r>
        <w:t xml:space="preserve">A rational-voluntary resource for contingent communication; distinguishes necessity by supposition from absolute necessity.</w:t>
      </w:r>
    </w:p>
    <w:p>
      <w:pPr>
        <w:pStyle w:val="BodyText"/>
      </w:pPr>
      <w:r>
        <w:rPr>
          <w:b/>
          <w:bCs/>
        </w:rPr>
        <w:t xml:space="preserve">limit:</w:t>
      </w:r>
      <w:r>
        <w:t xml:space="preserve"> </w:t>
      </w:r>
      <w:r>
        <w:t xml:space="preserve">The account of reasons, purposes, and agency still needs defense. Neither non-exhaustion alone nor this quotation settles whether God remains intrinsically the same across alternative creations.</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inherited</w:t>
      </w:r>
    </w:p>
    <w:p>
      <w:pPr>
        <w:pStyle w:val="Heading3"/>
      </w:pPr>
      <w:r>
        <w:t xml:space="preserve">RD-AQ-R — Thomas Aquinas</w:t>
      </w:r>
    </w:p>
    <w:p>
      <w:pPr>
        <w:pStyle w:val="FirstParagraph"/>
      </w:pPr>
      <w:r>
        <w:rPr>
          <w:b/>
          <w:bCs/>
        </w:rPr>
        <w:t xml:space="preserve">id:</w:t>
      </w:r>
      <w:r>
        <w:t xml:space="preserve"> </w:t>
      </w:r>
      <w:r>
        <w:t xml:space="preserve">RD-AQ-R</w:t>
      </w:r>
    </w:p>
    <w:p>
      <w:pPr>
        <w:pStyle w:val="BodyText"/>
      </w:pPr>
      <w:r>
        <w:rPr>
          <w:b/>
          <w:bCs/>
        </w:rPr>
        <w:t xml:space="preserve">author:</w:t>
      </w:r>
      <w:r>
        <w:t xml:space="preserve"> </w:t>
      </w:r>
      <w:r>
        <w:t xml:space="preserve">Thomas Aquinas</w:t>
      </w:r>
    </w:p>
    <w:p>
      <w:pPr>
        <w:pStyle w:val="BodyText"/>
      </w:pPr>
      <w:r>
        <w:rPr>
          <w:b/>
          <w:bCs/>
        </w:rPr>
        <w:t xml:space="preserve">title:</w:t>
      </w:r>
      <w:r>
        <w:t xml:space="preserve"> </w:t>
      </w:r>
      <w:r>
        <w:t xml:space="preserve">Summa theologiae</w:t>
      </w:r>
    </w:p>
    <w:p>
      <w:pPr>
        <w:pStyle w:val="BodyText"/>
      </w:pPr>
      <w:r>
        <w:rPr>
          <w:b/>
          <w:bCs/>
        </w:rPr>
        <w:t xml:space="preserve">locus:</w:t>
      </w:r>
      <w:r>
        <w:t xml:space="preserve"> </w:t>
      </w:r>
      <w:r>
        <w:t xml:space="preserve">I, q. 45, a. 3; especially ad 1</w:t>
      </w:r>
    </w:p>
    <w:p>
      <w:pPr>
        <w:pStyle w:val="BodyText"/>
      </w:pPr>
      <w:r>
        <w:rPr>
          <w:b/>
          <w:bCs/>
        </w:rPr>
        <w:t xml:space="preserve">url:</w:t>
      </w:r>
      <w:r>
        <w:t xml:space="preserve"> </w:t>
      </w:r>
      <w:r>
        <w:t xml:space="preserve">https:/​/​www.​newadvent.​org/​summa/​1045.​htm#article3</w:t>
      </w:r>
    </w:p>
    <w:p>
      <w:pPr>
        <w:pStyle w:val="BodyText"/>
      </w:pPr>
      <w:r>
        <w:rPr>
          <w:b/>
          <w:bCs/>
        </w:rPr>
        <w:t xml:space="preserve">status:</w:t>
      </w:r>
      <w:r>
        <w:t xml:space="preserve"> </w:t>
      </w:r>
      <w:r>
        <w:t xml:space="preserve">Inherited manuscript source register N11; translation check reported there, not repeated for page III.</w:t>
      </w:r>
    </w:p>
    <w:p>
      <w:pPr>
        <w:pStyle w:val="BodyText"/>
      </w:pPr>
      <w:r>
        <w:rPr>
          <w:b/>
          <w:bCs/>
        </w:rPr>
        <w:t xml:space="preserve">edition:</w:t>
      </w:r>
      <w:r>
        <w:t xml:space="preserve"> </w:t>
      </w:r>
      <w:r>
        <w:t xml:space="preserve">English Dominican Fathers translation, New Advent/CCEL as reported in the inherited manuscript register.</w:t>
      </w:r>
    </w:p>
    <w:p>
      <w:pPr>
        <w:pStyle w:val="BodyText"/>
      </w:pPr>
      <w:r>
        <w:rPr>
          <w:b/>
          <w:bCs/>
        </w:rPr>
        <w:t xml:space="preserve">claim:</w:t>
      </w:r>
      <w:r>
        <w:t xml:space="preserve"> </w:t>
      </w:r>
      <w:r>
        <w:t xml:space="preserve">Active creation is divine action with reference to the creature; created dependence does not require a corresponding intrinsic divine accident.</w:t>
      </w:r>
    </w:p>
    <w:p>
      <w:pPr>
        <w:pStyle w:val="BodyText"/>
      </w:pPr>
      <w:r>
        <w:rPr>
          <w:b/>
          <w:bCs/>
        </w:rPr>
        <w:t xml:space="preserve">establishes:</w:t>
      </w:r>
      <w:r>
        <w:t xml:space="preserve"> </w:t>
      </w:r>
      <w:r>
        <w:t xml:space="preserve">A classical source for distinguishing divine action in relation to creatures from creatures’ real dependence on God.</w:t>
      </w:r>
    </w:p>
    <w:p>
      <w:pPr>
        <w:pStyle w:val="BodyText"/>
      </w:pPr>
      <w:r>
        <w:rPr>
          <w:b/>
          <w:bCs/>
        </w:rPr>
        <w:t xml:space="preserve">limit:</w:t>
      </w:r>
      <w:r>
        <w:t xml:space="preserve"> </w:t>
      </w:r>
      <w:r>
        <w:t xml:space="preserve">Creation understood as a relation does not by itself explain free intentional choice, control, or justified knowledge. This account does not establish the Trinity or the Incarnation.</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inherited</w:t>
      </w:r>
    </w:p>
    <w:p>
      <w:pPr>
        <w:pStyle w:val="Heading3"/>
      </w:pPr>
      <w:r>
        <w:t xml:space="preserve">RD-AU-FIN — Augustine</w:t>
      </w:r>
    </w:p>
    <w:p>
      <w:pPr>
        <w:pStyle w:val="FirstParagraph"/>
      </w:pPr>
      <w:r>
        <w:rPr>
          <w:b/>
          <w:bCs/>
        </w:rPr>
        <w:t xml:space="preserve">id:</w:t>
      </w:r>
      <w:r>
        <w:t xml:space="preserve"> </w:t>
      </w:r>
      <w:r>
        <w:t xml:space="preserve">RD-AU-FIN</w:t>
      </w:r>
    </w:p>
    <w:p>
      <w:pPr>
        <w:pStyle w:val="BodyText"/>
      </w:pPr>
      <w:r>
        <w:rPr>
          <w:b/>
          <w:bCs/>
        </w:rPr>
        <w:t xml:space="preserve">author:</w:t>
      </w:r>
      <w:r>
        <w:t xml:space="preserve"> </w:t>
      </w:r>
      <w:r>
        <w:t xml:space="preserve">Augustine</w:t>
      </w:r>
    </w:p>
    <w:p>
      <w:pPr>
        <w:pStyle w:val="BodyText"/>
      </w:pPr>
      <w:r>
        <w:rPr>
          <w:b/>
          <w:bCs/>
        </w:rPr>
        <w:t xml:space="preserve">title:</w:t>
      </w:r>
      <w:r>
        <w:t xml:space="preserve"> </w:t>
      </w:r>
      <w:r>
        <w:t xml:space="preserve">Confessions</w:t>
      </w:r>
    </w:p>
    <w:p>
      <w:pPr>
        <w:pStyle w:val="BodyText"/>
      </w:pPr>
      <w:r>
        <w:rPr>
          <w:b/>
          <w:bCs/>
        </w:rPr>
        <w:t xml:space="preserve">locus:</w:t>
      </w:r>
      <w:r>
        <w:t xml:space="preserve"> </w:t>
      </w:r>
      <w:r>
        <w:t xml:space="preserve">IV.10.15</w:t>
      </w:r>
    </w:p>
    <w:p>
      <w:pPr>
        <w:pStyle w:val="BodyText"/>
      </w:pPr>
      <w:r>
        <w:rPr>
          <w:b/>
          <w:bCs/>
        </w:rPr>
        <w:t xml:space="preserve">url:</w:t>
      </w:r>
      <w:r>
        <w:t xml:space="preserve"> </w:t>
      </w:r>
      <w:r>
        <w:t xml:space="preserve">https:/​/​www.​newadvent.​org/​fathers/​110104.​htm</w:t>
      </w:r>
    </w:p>
    <w:p>
      <w:pPr>
        <w:pStyle w:val="BodyText"/>
      </w:pPr>
      <w:r>
        <w:rPr>
          <w:b/>
          <w:bCs/>
        </w:rPr>
        <w:t xml:space="preserve">status:</w:t>
      </w:r>
      <w:r>
        <w:t xml:space="preserve"> </w:t>
      </w:r>
      <w:r>
        <w:t xml:space="preserve">Inherited manuscript primary quotation, register N5; not freshly consulted for page III.</w:t>
      </w:r>
    </w:p>
    <w:p>
      <w:pPr>
        <w:pStyle w:val="BodyText"/>
      </w:pPr>
      <w:r>
        <w:rPr>
          <w:b/>
          <w:bCs/>
        </w:rPr>
        <w:t xml:space="preserve">edition:</w:t>
      </w:r>
      <w:r>
        <w:t xml:space="preserve"> </w:t>
      </w:r>
      <w:r>
        <w:t xml:space="preserve">J. G. Pilkington translation, NPNF first series I (1887); inherited structural locus.</w:t>
      </w:r>
    </w:p>
    <w:p>
      <w:pPr>
        <w:pStyle w:val="BodyText"/>
      </w:pPr>
      <w:r>
        <w:rPr>
          <w:b/>
          <w:bCs/>
        </w:rPr>
        <w:t xml:space="preserve">claim:</w:t>
      </w:r>
      <w:r>
        <w:t xml:space="preserve"> </w:t>
      </w:r>
      <w:r>
        <w:t xml:space="preserve">Successive words pass as the whole utterance is completed.</w:t>
      </w:r>
    </w:p>
    <w:p>
      <w:pPr>
        <w:pStyle w:val="BodyText"/>
      </w:pPr>
      <w:r>
        <w:rPr>
          <w:b/>
          <w:bCs/>
        </w:rPr>
        <w:t xml:space="preserve">establishes:</w:t>
      </w:r>
      <w:r>
        <w:t xml:space="preserve"> </w:t>
      </w:r>
      <w:r>
        <w:t xml:space="preserve">A historical illustration of how temporal succession can contribute to an achieved whole.</w:t>
      </w:r>
    </w:p>
    <w:p>
      <w:pPr>
        <w:pStyle w:val="BodyText"/>
      </w:pPr>
      <w:r>
        <w:rPr>
          <w:b/>
          <w:bCs/>
        </w:rPr>
        <w:t xml:space="preserve">limit:</w:t>
      </w:r>
      <w:r>
        <w:t xml:space="preserve"> </w:t>
      </w:r>
      <w:r>
        <w:t xml:space="preserve">The claim that finite conditions partly constitute some goods is the project’s constructive extension. This passage does not show that every loss or suffering is beneficial.</w:t>
      </w:r>
    </w:p>
    <w:p>
      <w:pPr>
        <w:pStyle w:val="BodyText"/>
      </w:pPr>
      <w:r>
        <w:rPr>
          <w:b/>
          <w:bCs/>
        </w:rPr>
        <w:t xml:space="preserve">quote:</w:t>
      </w:r>
      <w:r>
        <w:t xml:space="preserve"> </w:t>
      </w:r>
      <w:r>
        <w:t xml:space="preserve">Unless one word pass away when it has sounded its part.</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inherited</w:t>
      </w:r>
    </w:p>
    <w:p>
      <w:pPr>
        <w:pStyle w:val="Heading3"/>
      </w:pPr>
      <w:r>
        <w:t xml:space="preserve">RD-AU-IDEAS — Augustine</w:t>
      </w:r>
    </w:p>
    <w:p>
      <w:pPr>
        <w:pStyle w:val="FirstParagraph"/>
      </w:pPr>
      <w:r>
        <w:rPr>
          <w:b/>
          <w:bCs/>
        </w:rPr>
        <w:t xml:space="preserve">id:</w:t>
      </w:r>
      <w:r>
        <w:t xml:space="preserve"> </w:t>
      </w:r>
      <w:r>
        <w:t xml:space="preserve">RD-AU-IDEAS</w:t>
      </w:r>
    </w:p>
    <w:p>
      <w:pPr>
        <w:pStyle w:val="BodyText"/>
      </w:pPr>
      <w:r>
        <w:rPr>
          <w:b/>
          <w:bCs/>
        </w:rPr>
        <w:t xml:space="preserve">author:</w:t>
      </w:r>
      <w:r>
        <w:t xml:space="preserve"> </w:t>
      </w:r>
      <w:r>
        <w:t xml:space="preserve">Augustine</w:t>
      </w:r>
    </w:p>
    <w:p>
      <w:pPr>
        <w:pStyle w:val="BodyText"/>
      </w:pPr>
      <w:r>
        <w:rPr>
          <w:b/>
          <w:bCs/>
        </w:rPr>
        <w:t xml:space="preserve">title:</w:t>
      </w:r>
      <w:r>
        <w:t xml:space="preserve"> </w:t>
      </w:r>
      <w:r>
        <w:t xml:space="preserve">De diversis quaestionibus octoginta tribus (Eighty-three Different Questions)</w:t>
      </w:r>
    </w:p>
    <w:p>
      <w:pPr>
        <w:pStyle w:val="BodyText"/>
      </w:pPr>
      <w:r>
        <w:rPr>
          <w:b/>
          <w:bCs/>
        </w:rPr>
        <w:t xml:space="preserve">locus:</w:t>
      </w:r>
      <w:r>
        <w:t xml:space="preserve"> </w:t>
      </w:r>
      <w:r>
        <w:t xml:space="preserve">q. 46, especially §§1–2, De ideis</w:t>
      </w:r>
    </w:p>
    <w:p>
      <w:pPr>
        <w:pStyle w:val="BodyText"/>
      </w:pPr>
      <w:r>
        <w:rPr>
          <w:b/>
          <w:bCs/>
        </w:rPr>
        <w:t xml:space="preserve">url:</w:t>
      </w:r>
      <w:r>
        <w:t xml:space="preserve"> </w:t>
      </w:r>
      <w:r>
        <w:t xml:space="preserve">https:/​/​plato.​stanford.​edu/​entries/​augustine/​</w:t>
      </w:r>
    </w:p>
    <w:p>
      <w:pPr>
        <w:pStyle w:val="BodyText"/>
      </w:pPr>
      <w:r>
        <w:rPr>
          <w:b/>
          <w:bCs/>
        </w:rPr>
        <w:t xml:space="preserve">status:</w:t>
      </w:r>
      <w:r>
        <w:t xml:space="preserve"> </w:t>
      </w:r>
      <w:r>
        <w:t xml:space="preserve">Inherited primary bibliographic lead from Participation; q. 46 was not directly consulted in the website research and is not freshly verified here.</w:t>
      </w:r>
    </w:p>
    <w:p>
      <w:pPr>
        <w:pStyle w:val="BodyText"/>
      </w:pPr>
      <w:r>
        <w:rPr>
          <w:b/>
          <w:bCs/>
        </w:rPr>
        <w:t xml:space="preserve">edition:</w:t>
      </w:r>
      <w:r>
        <w:t xml:space="preserve"> </w:t>
      </w:r>
      <w:r>
        <w:t xml:space="preserve">No primary critical-edition collation performed in this research pass.</w:t>
      </w:r>
    </w:p>
    <w:p>
      <w:pPr>
        <w:pStyle w:val="BodyText"/>
      </w:pPr>
      <w:r>
        <w:rPr>
          <w:b/>
          <w:bCs/>
        </w:rPr>
        <w:t xml:space="preserve">claim:</w:t>
      </w:r>
      <w:r>
        <w:t xml:space="preserve"> </w:t>
      </w:r>
      <w:r>
        <w:t xml:space="preserve">Proposed further control for ideas as immutable formative reasons in divine intelligence.</w:t>
      </w:r>
    </w:p>
    <w:p>
      <w:pPr>
        <w:pStyle w:val="BodyText"/>
      </w:pPr>
      <w:r>
        <w:rPr>
          <w:b/>
          <w:bCs/>
        </w:rPr>
        <w:t xml:space="preserve">establishes:</w:t>
      </w:r>
      <w:r>
        <w:t xml:space="preserve"> </w:t>
      </w:r>
      <w:r>
        <w:t xml:space="preserve">Nothing independently established by this unconsulted primary lead; the broader exemplar account has other consulted witnesses.</w:t>
      </w:r>
    </w:p>
    <w:p>
      <w:pPr>
        <w:pStyle w:val="BodyText"/>
      </w:pPr>
      <w:r>
        <w:rPr>
          <w:b/>
          <w:bCs/>
        </w:rPr>
        <w:t xml:space="preserve">limit:</w:t>
      </w:r>
      <w:r>
        <w:t xml:space="preserve"> </w:t>
      </w:r>
      <w:r>
        <w:t xml:space="preserve">Do not treat the link as a primary witness or quote this question as newly verified. Exemplar intelligibility still differs from actual creative selection.</w:t>
      </w:r>
    </w:p>
    <w:p>
      <w:pPr>
        <w:pStyle w:val="BodyText"/>
      </w:pPr>
      <w:r>
        <w:rPr>
          <w:b/>
          <w:bCs/>
        </w:rPr>
        <w:t xml:space="preserve">url_role:</w:t>
      </w:r>
      <w:r>
        <w:t xml:space="preserve"> </w:t>
      </w:r>
      <w:r>
        <w:t xml:space="preserve">Specialist orientation; exact primary locus supplied as an unconsulted lead</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lead</w:t>
      </w:r>
    </w:p>
    <w:p>
      <w:pPr>
        <w:pStyle w:val="Heading3"/>
      </w:pPr>
      <w:r>
        <w:t xml:space="preserve">RD-NW — John Henry Newman</w:t>
      </w:r>
    </w:p>
    <w:p>
      <w:pPr>
        <w:pStyle w:val="FirstParagraph"/>
      </w:pPr>
      <w:r>
        <w:rPr>
          <w:b/>
          <w:bCs/>
        </w:rPr>
        <w:t xml:space="preserve">id:</w:t>
      </w:r>
      <w:r>
        <w:t xml:space="preserve"> </w:t>
      </w:r>
      <w:r>
        <w:t xml:space="preserve">RD-NW</w:t>
      </w:r>
    </w:p>
    <w:p>
      <w:pPr>
        <w:pStyle w:val="BodyText"/>
      </w:pPr>
      <w:r>
        <w:rPr>
          <w:b/>
          <w:bCs/>
        </w:rPr>
        <w:t xml:space="preserve">author:</w:t>
      </w:r>
      <w:r>
        <w:t xml:space="preserve"> </w:t>
      </w:r>
      <w:r>
        <w:t xml:space="preserve">John Henry Newman</w:t>
      </w:r>
    </w:p>
    <w:p>
      <w:pPr>
        <w:pStyle w:val="BodyText"/>
      </w:pPr>
      <w:r>
        <w:rPr>
          <w:b/>
          <w:bCs/>
        </w:rPr>
        <w:t xml:space="preserve">title:</w:t>
      </w:r>
      <w:r>
        <w:t xml:space="preserve"> </w:t>
      </w:r>
      <w:r>
        <w:t xml:space="preserve">An Essay on the Development of Christian Doctrine</w:t>
      </w:r>
    </w:p>
    <w:p>
      <w:pPr>
        <w:pStyle w:val="BodyText"/>
      </w:pPr>
      <w:r>
        <w:rPr>
          <w:b/>
          <w:bCs/>
        </w:rPr>
        <w:t xml:space="preserve">locus:</w:t>
      </w:r>
      <w:r>
        <w:t xml:space="preserve"> </w:t>
      </w:r>
      <w:r>
        <w:t xml:space="preserve">Part II, chapter V, §§I–VII; opening §4 on varying cogency, independence, and applicability</w:t>
      </w:r>
    </w:p>
    <w:p>
      <w:pPr>
        <w:pStyle w:val="BodyText"/>
      </w:pPr>
      <w:r>
        <w:rPr>
          <w:b/>
          <w:bCs/>
        </w:rPr>
        <w:t xml:space="preserve">url:</w:t>
      </w:r>
      <w:r>
        <w:t xml:space="preserve"> </w:t>
      </w:r>
      <w:r>
        <w:t xml:space="preserve">https:/​/​www.​gutenberg.​org/​ebooks/​35110</w:t>
      </w:r>
    </w:p>
    <w:p>
      <w:pPr>
        <w:pStyle w:val="BodyText"/>
      </w:pPr>
      <w:r>
        <w:rPr>
          <w:b/>
          <w:bCs/>
        </w:rPr>
        <w:t xml:space="preserve">consulted_url:</w:t>
      </w:r>
      <w:r>
        <w:t xml:space="preserve"> </w:t>
      </w:r>
      <w:r>
        <w:t xml:space="preserve">https:/​/​raw.​githubusercontent.​com/​GITenberg/​An-​Essay-​on-​the-​Development-​of-​Christian-​Doctrine_​35110/​master/​35110.​txt</w:t>
      </w:r>
    </w:p>
    <w:p>
      <w:pPr>
        <w:pStyle w:val="BodyText"/>
      </w:pPr>
      <w:r>
        <w:rPr>
          <w:b/>
          <w:bCs/>
        </w:rPr>
        <w:t xml:space="preserve">status:</w:t>
      </w:r>
      <w:r>
        <w:t xml:space="preserve"> </w:t>
      </w:r>
      <w:r>
        <w:t xml:space="preserve">Inherited directly consulted primary witness from Participation; no new edition collation for page III.</w:t>
      </w:r>
    </w:p>
    <w:p>
      <w:pPr>
        <w:pStyle w:val="BodyText"/>
      </w:pPr>
      <w:r>
        <w:rPr>
          <w:b/>
          <w:bCs/>
        </w:rPr>
        <w:t xml:space="preserve">edition:</w:t>
      </w:r>
      <w:r>
        <w:t xml:space="preserve"> </w:t>
      </w:r>
      <w:r>
        <w:t xml:space="preserve">Project Gutenberg #35110 / GITenberg transcription.</w:t>
      </w:r>
    </w:p>
    <w:p>
      <w:pPr>
        <w:pStyle w:val="BodyText"/>
      </w:pPr>
      <w:r>
        <w:rPr>
          <w:b/>
          <w:bCs/>
        </w:rPr>
        <w:t xml:space="preserve">claim:</w:t>
      </w:r>
      <w:r>
        <w:t xml:space="preserve"> </w:t>
      </w:r>
      <w:r>
        <w:t xml:space="preserve">Seven notes: preservation of type; continuity of principles; power of assimilation; logical sequence; anticipation of its future; conservative action upon its past; chronic vigour.</w:t>
      </w:r>
    </w:p>
    <w:p>
      <w:pPr>
        <w:pStyle w:val="BodyText"/>
      </w:pPr>
      <w:r>
        <w:rPr>
          <w:b/>
          <w:bCs/>
        </w:rPr>
        <w:t xml:space="preserve">establishes:</w:t>
      </w:r>
      <w:r>
        <w:t xml:space="preserve"> </w:t>
      </w:r>
      <w:r>
        <w:t xml:space="preserve">An analogical discipline for constructive synthesis that conserves principles and prior achievements while clarifying tensions.</w:t>
      </w:r>
    </w:p>
    <w:p>
      <w:pPr>
        <w:pStyle w:val="BodyText"/>
      </w:pPr>
      <w:r>
        <w:rPr>
          <w:b/>
          <w:bCs/>
        </w:rPr>
        <w:t xml:space="preserve">limit:</w:t>
      </w:r>
      <w:r>
        <w:t xml:space="preserve"> </w:t>
      </w:r>
      <w:r>
        <w:t xml:space="preserve">Not an ecclesial certification, proof of new metaphysical premises, or license to harmonize contradiction. A new page cannot already demonstrate chronic historical vigour.</w:t>
      </w:r>
    </w:p>
    <w:p>
      <w:pPr>
        <w:pStyle w:val="BodyText"/>
      </w:pPr>
      <w:r>
        <w:rPr>
          <w:b/>
          <w:bCs/>
        </w:rPr>
        <w:t xml:space="preserve">source_type:</w:t>
      </w:r>
      <w:r>
        <w:t xml:space="preserve"> </w:t>
      </w:r>
      <w:r>
        <w:t xml:space="preserve">primary</w:t>
      </w:r>
    </w:p>
    <w:p>
      <w:pPr>
        <w:pStyle w:val="BodyText"/>
      </w:pPr>
      <w:r>
        <w:rPr>
          <w:b/>
          <w:bCs/>
        </w:rPr>
        <w:t xml:space="preserve">consultation_class:</w:t>
      </w:r>
      <w:r>
        <w:t xml:space="preserve"> </w:t>
      </w:r>
      <w:r>
        <w:t xml:space="preserve">inherited</w:t>
      </w:r>
    </w:p>
    <w:p>
      <w:pPr>
        <w:pStyle w:val="Heading1"/>
      </w:pPr>
      <w:r>
        <w:t xml:space="preserve">Appendix E — reading-guide.md</w:t>
      </w:r>
    </w:p>
    <w:p>
      <w:pPr>
        <w:pStyle w:val="FirstParagraph"/>
      </w:pPr>
      <w:r>
        <w:t xml:space="preserve">Original research file: https:/​/​participation-​6o4.​pages.​dev/​research/​reading-​guide.​md</w:t>
      </w:r>
    </w:p>
    <w:bookmarkStart w:id="364" w:name="X76bbf5d6b7569961a0062f67039635a63138a29"/>
    <w:p>
      <w:pPr>
        <w:pStyle w:val="Heading2"/>
      </w:pPr>
      <w:r>
        <w:t xml:space="preserve">Reading the three investigations together</w:t>
      </w:r>
    </w:p>
    <w:p>
      <w:pPr>
        <w:pStyle w:val="FirstParagraph"/>
      </w:pPr>
      <w:r>
        <w:t xml:space="preserve">Revision: October 14, 2026.</w:t>
      </w:r>
    </w:p>
    <w:p>
      <w:pPr>
        <w:pStyle w:val="BodyText"/>
      </w:pPr>
      <w:r>
        <w:t xml:space="preserve">The three pages investigate a single problem in stages. How can created actuality come from God and genuinely belong to the creature? What further principles would establish simplicity, free creation, and non-receptive knowledge? How could that freedom have determinate intentional content while sustaining real creaturely action and fulfillment?</w:t>
      </w:r>
    </w:p>
    <w:p>
      <w:pPr>
        <w:pStyle w:val="BodyText"/>
      </w:pPr>
      <w:r>
        <w:t xml:space="preserve">The revision draws on the supplied</w:t>
      </w:r>
      <w:r>
        <w:t xml:space="preserve"> </w:t>
      </w:r>
      <w:r>
        <w:rPr>
          <w:i/>
          <w:iCs/>
        </w:rPr>
        <w:t xml:space="preserve">Being-First and Measured Manifestation: Definitive Synthetic Edition</w:t>
      </w:r>
      <w:r>
        <w:t xml:space="preserve"> </w:t>
      </w:r>
      <w:r>
        <w:t xml:space="preserve">and</w:t>
      </w:r>
      <w:r>
        <w:t xml:space="preserve"> </w:t>
      </w:r>
      <w:r>
        <w:rPr>
          <w:i/>
          <w:iCs/>
        </w:rPr>
        <w:t xml:space="preserve">Working Philosophical Toolkit: Final</w:t>
      </w:r>
      <w:r>
        <w:t xml:space="preserve">. These are constructive source manuscripts for this project. Using them does not convert their proposals into historical testimony or independently established metaphysical theorems. The existing source ledgers retain their consultation and edition qualifications.</w:t>
      </w:r>
    </w:p>
    <w:bookmarkStart w:id="357" w:name="five-recurring-questions"/>
    <w:p>
      <w:pPr>
        <w:pStyle w:val="Heading3"/>
      </w:pPr>
      <w:r>
        <w:t xml:space="preserve">Five recurring questions</w:t>
      </w:r>
    </w:p>
    <w:p>
      <w:pPr>
        <w:pStyle w:val="Compact"/>
        <w:numPr>
          <w:ilvl w:val="0"/>
          <w:numId w:val="1058"/>
        </w:numPr>
      </w:pPr>
      <w:r>
        <w:rPr>
          <w:b/>
          <w:bCs/>
        </w:rPr>
        <w:t xml:space="preserve">Reality:</w:t>
      </w:r>
      <w:r>
        <w:t xml:space="preserve"> </w:t>
      </w:r>
      <w:r>
        <w:t xml:space="preserve">What differs, what realizes that difference, and what makes the subject one?</w:t>
      </w:r>
    </w:p>
    <w:p>
      <w:pPr>
        <w:pStyle w:val="Compact"/>
        <w:numPr>
          <w:ilvl w:val="0"/>
          <w:numId w:val="1058"/>
        </w:numPr>
      </w:pPr>
      <w:r>
        <w:rPr>
          <w:b/>
          <w:bCs/>
        </w:rPr>
        <w:t xml:space="preserve">Explanation:</w:t>
      </w:r>
      <w:r>
        <w:t xml:space="preserve"> </w:t>
      </w:r>
      <w:r>
        <w:t xml:space="preserve">What explains what, through which relation and in which respect?</w:t>
      </w:r>
    </w:p>
    <w:p>
      <w:pPr>
        <w:pStyle w:val="Compact"/>
        <w:numPr>
          <w:ilvl w:val="0"/>
          <w:numId w:val="1058"/>
        </w:numPr>
      </w:pPr>
      <w:r>
        <w:rPr>
          <w:b/>
          <w:bCs/>
        </w:rPr>
        <w:t xml:space="preserve">Possibility and agency:</w:t>
      </w:r>
      <w:r>
        <w:t xml:space="preserve"> </w:t>
      </w:r>
      <w:r>
        <w:t xml:space="preserve">What could genuinely differ, what makes alternatives fitting, and who directs the actual action?</w:t>
      </w:r>
    </w:p>
    <w:p>
      <w:pPr>
        <w:pStyle w:val="Compact"/>
        <w:numPr>
          <w:ilvl w:val="0"/>
          <w:numId w:val="1058"/>
        </w:numPr>
      </w:pPr>
      <w:r>
        <w:rPr>
          <w:b/>
          <w:bCs/>
        </w:rPr>
        <w:t xml:space="preserve">Disclosure:</w:t>
      </w:r>
      <w:r>
        <w:t xml:space="preserve"> </w:t>
      </w:r>
      <w:r>
        <w:t xml:space="preserve">What is expressed, what warrants knowledge of it, and how far does that warrant extend?</w:t>
      </w:r>
    </w:p>
    <w:p>
      <w:pPr>
        <w:pStyle w:val="Compact"/>
        <w:numPr>
          <w:ilvl w:val="0"/>
          <w:numId w:val="1058"/>
        </w:numPr>
      </w:pPr>
      <w:r>
        <w:rPr>
          <w:b/>
          <w:bCs/>
        </w:rPr>
        <w:t xml:space="preserve">Fulfillment:</w:t>
      </w:r>
      <w:r>
        <w:t xml:space="preserve"> </w:t>
      </w:r>
      <w:r>
        <w:t xml:space="preserve">What good is appropriate to the subject, what impedes it, and what would perfect it?</w:t>
      </w:r>
    </w:p>
    <w:p>
      <w:pPr>
        <w:pStyle w:val="FirstParagraph"/>
      </w:pPr>
      <w:r>
        <w:t xml:space="preserve">These are useful analytical jobs, not five demonstrated ontological primitives. The five families of symbols in Part I have a different purpose: they retain information needed by one conditional formal reconstruction. Sharing the number five establishes no identity between the toolkit and that model.</w:t>
      </w:r>
    </w:p>
    <w:p>
      <w:pPr>
        <w:pStyle w:val="BodyText"/>
      </w:pPr>
      <w:r>
        <w:t xml:space="preserve">Keep the relation, respect, modal force, and warrant explicit. Causation, constitution, dependence, truthmaking, cognitive access, and intentional direction are different explanatory relations unless an argument establishes their reduction.</w:t>
      </w:r>
    </w:p>
    <w:bookmarkEnd w:id="357"/>
    <w:bookmarkStart w:id="358" w:name="participation-connects-the-questions"/>
    <w:p>
      <w:pPr>
        <w:pStyle w:val="Heading3"/>
      </w:pPr>
      <w:r>
        <w:t xml:space="preserve">Participation connects the questions</w:t>
      </w:r>
    </w:p>
    <w:p>
      <w:pPr>
        <w:pStyle w:val="FirstParagraph"/>
      </w:pPr>
      <w:r>
        <w:t xml:space="preserve">Participation is real, dependent possession of received actuality or perfection according to the participant’s mode. Identify the recipient, what it possesses, its source, its mode, and the dependence. Receiving actuality does not turn the recipient into an appearance. Genuine possession does not make it independent.</w:t>
      </w:r>
    </w:p>
    <w:p>
      <w:pPr>
        <w:pStyle w:val="BodyText"/>
      </w:pPr>
      <w:r>
        <w:t xml:space="preserve">Expression, agency, and finality require additional bridges. A received power can remain unexercised. An actual likeness can remain unrecognized. A subject’s origin does not by itself establish its fitting end. The added principles explain how participation can become productive action, warranted disclosure, and fulfillment without building those conclusions into its definition.</w:t>
      </w:r>
    </w:p>
    <w:bookmarkEnd w:id="358"/>
    <w:bookmarkStart w:id="359" w:name="the-major-passages-and-their-burdens"/>
    <w:p>
      <w:pPr>
        <w:pStyle w:val="Heading3"/>
      </w:pPr>
      <w:r>
        <w:t xml:space="preserve">The major passages and their burdens</w:t>
      </w:r>
    </w:p>
    <w:tbl>
      <w:tblPr>
        <w:tblStyle w:val="TableGrid"/>
        <w:tblW w:type="dxa" w:w="9936"/>
        <w:jc w:val="left"/>
        <w:tblLayout w:type="fixed"/>
        <w:tblLook w:firstRow="1" w:lastRow="0" w:firstColumn="0" w:lastColumn="0" w:noHBand="0" w:noVBand="0" w:val="0020"/>
      </w:tblPr>
      <w:tblGrid>
        <w:gridCol w:w="1689"/>
        <w:gridCol w:w="2749"/>
        <w:gridCol w:w="2749"/>
        <w:gridCol w:w="2749"/>
      </w:tblGrid>
      <w:tr>
        <w:trPr>
          <w:tblHeader w:val="true"/>
        </w:trPr>
        <w:tc>
          <w:tcPr>
            <w:tcW w:type="dxa" w:w="1689"/>
            <w:shd w:fill="EAE5DA"/>
          </w:tcPr>
          <w:p>
            <w:pPr>
              <w:pStyle w:val="BodyText"/>
              <w:keepNext w:val="0"/>
              <w:spacing w:after="80" w:line="252" w:lineRule="auto"/>
              <w:jc w:val="left"/>
            </w:pPr>
            <w:r>
              <w:rPr>
                <w:rFonts w:ascii="Calibri" w:hAnsi="Calibri"/>
                <w:b/>
                <w:sz w:val="17"/>
              </w:rPr>
              <w:t xml:space="preserve">Passage</w:t>
            </w:r>
          </w:p>
        </w:tc>
        <w:tc>
          <w:tcPr>
            <w:tcW w:type="dxa" w:w="2749"/>
            <w:shd w:fill="EAE5DA"/>
          </w:tcPr>
          <w:p>
            <w:pPr>
              <w:pStyle w:val="BodyText"/>
              <w:keepNext w:val="0"/>
              <w:spacing w:after="80" w:line="252" w:lineRule="auto"/>
              <w:jc w:val="left"/>
            </w:pPr>
            <w:r>
              <w:rPr>
                <w:rFonts w:ascii="Calibri" w:hAnsi="Calibri"/>
                <w:b/>
                <w:sz w:val="17"/>
              </w:rPr>
              <w:t xml:space="preserve">Positive explanation</w:t>
            </w:r>
          </w:p>
        </w:tc>
        <w:tc>
          <w:tcPr>
            <w:tcW w:type="dxa" w:w="2749"/>
            <w:shd w:fill="EAE5DA"/>
          </w:tcPr>
          <w:p>
            <w:pPr>
              <w:pStyle w:val="BodyText"/>
              <w:keepNext w:val="0"/>
              <w:spacing w:after="80" w:line="252" w:lineRule="auto"/>
              <w:jc w:val="left"/>
            </w:pPr>
            <w:r>
              <w:rPr>
                <w:rFonts w:ascii="Calibri" w:hAnsi="Calibri"/>
                <w:b/>
                <w:sz w:val="17"/>
              </w:rPr>
              <w:t xml:space="preserve">Indispensable addition</w:t>
            </w:r>
          </w:p>
        </w:tc>
        <w:tc>
          <w:tcPr>
            <w:tcW w:type="dxa" w:w="2749"/>
            <w:shd w:fill="EAE5DA"/>
          </w:tcPr>
          <w:p>
            <w:pPr>
              <w:pStyle w:val="BodyText"/>
              <w:keepNext w:val="0"/>
              <w:spacing w:after="80" w:line="252" w:lineRule="auto"/>
              <w:jc w:val="left"/>
            </w:pPr>
            <w:r>
              <w:rPr>
                <w:rFonts w:ascii="Calibri" w:hAnsi="Calibri"/>
                <w:b/>
                <w:sz w:val="17"/>
              </w:rPr>
              <w:t xml:space="preserve">Strong rival or remaining burden</w:t>
            </w:r>
          </w:p>
        </w:tc>
      </w:tr>
      <w:tr>
        <w:tc>
          <w:tcPr>
            <w:tcW w:type="dxa" w:w="1689"/>
          </w:tcPr>
          <w:p>
            <w:pPr>
              <w:pStyle w:val="BodyText"/>
              <w:keepNext w:val="0"/>
              <w:spacing w:after="80" w:line="252" w:lineRule="auto"/>
              <w:jc w:val="left"/>
            </w:pPr>
            <w:r>
              <w:rPr>
                <w:rFonts w:ascii="Calibri" w:hAnsi="Calibri"/>
                <w:sz w:val="17"/>
              </w:rPr>
              <w:t xml:space="preserve">Received actuality → creaturely possession</w:t>
            </w:r>
          </w:p>
        </w:tc>
        <w:tc>
          <w:tcPr>
            <w:tcW w:type="dxa" w:w="2749"/>
          </w:tcPr>
          <w:p>
            <w:pPr>
              <w:pStyle w:val="BodyText"/>
              <w:keepNext w:val="0"/>
              <w:spacing w:after="80" w:line="252" w:lineRule="auto"/>
              <w:jc w:val="left"/>
            </w:pPr>
            <w:r>
              <w:rPr>
                <w:rFonts w:ascii="Calibri" w:hAnsi="Calibri"/>
                <w:sz w:val="17"/>
              </w:rPr>
              <w:t xml:space="preserve">The perfection is actual in the recipient; dependence concerns its source.</w:t>
            </w:r>
          </w:p>
        </w:tc>
        <w:tc>
          <w:tcPr>
            <w:tcW w:type="dxa" w:w="2749"/>
          </w:tcPr>
          <w:p>
            <w:pPr>
              <w:pStyle w:val="BodyText"/>
              <w:keepNext w:val="0"/>
              <w:spacing w:after="80" w:line="252" w:lineRule="auto"/>
              <w:jc w:val="left"/>
            </w:pPr>
            <w:r>
              <w:rPr>
                <w:rFonts w:ascii="Calibri" w:hAnsi="Calibri"/>
                <w:sz w:val="17"/>
              </w:rPr>
              <w:t xml:space="preserve">A realist account of realization and the stated causal-dependence bridge.</w:t>
            </w:r>
          </w:p>
        </w:tc>
        <w:tc>
          <w:tcPr>
            <w:tcW w:type="dxa" w:w="2749"/>
          </w:tcPr>
          <w:p>
            <w:pPr>
              <w:pStyle w:val="BodyText"/>
              <w:keepNext w:val="0"/>
              <w:spacing w:after="80" w:line="252" w:lineRule="auto"/>
              <w:jc w:val="left"/>
            </w:pPr>
            <w:r>
              <w:rPr>
                <w:rFonts w:ascii="Calibri" w:hAnsi="Calibri"/>
                <w:sz w:val="17"/>
              </w:rPr>
              <w:t xml:space="preserve">An ontology in which creatures are merely appearances rather than distinct bearers.</w:t>
            </w:r>
          </w:p>
        </w:tc>
      </w:tr>
      <w:tr>
        <w:tc>
          <w:tcPr>
            <w:tcW w:type="dxa" w:w="1689"/>
          </w:tcPr>
          <w:p>
            <w:pPr>
              <w:pStyle w:val="BodyText"/>
              <w:keepNext w:val="0"/>
              <w:spacing w:after="80" w:line="252" w:lineRule="auto"/>
              <w:jc w:val="left"/>
            </w:pPr>
            <w:r>
              <w:rPr>
                <w:rFonts w:ascii="Calibri" w:hAnsi="Calibri"/>
                <w:sz w:val="17"/>
              </w:rPr>
              <w:t xml:space="preserve">Causation → expressive likeness</w:t>
            </w:r>
          </w:p>
        </w:tc>
        <w:tc>
          <w:tcPr>
            <w:tcW w:type="dxa" w:w="2749"/>
          </w:tcPr>
          <w:p>
            <w:pPr>
              <w:pStyle w:val="BodyText"/>
              <w:keepNext w:val="0"/>
              <w:spacing w:after="80" w:line="252" w:lineRule="auto"/>
              <w:jc w:val="left"/>
            </w:pPr>
            <w:r>
              <w:rPr>
                <w:rFonts w:ascii="Calibri" w:hAnsi="Calibri"/>
                <w:sz w:val="17"/>
              </w:rPr>
              <w:t xml:space="preserve">The effect’s intelligible formation corresponds to positive content in its ultimate source.</w:t>
            </w:r>
          </w:p>
        </w:tc>
        <w:tc>
          <w:tcPr>
            <w:tcW w:type="dxa" w:w="2749"/>
          </w:tcPr>
          <w:p>
            <w:pPr>
              <w:pStyle w:val="BodyText"/>
              <w:keepNext w:val="0"/>
              <w:spacing w:after="80" w:line="252" w:lineRule="auto"/>
              <w:jc w:val="left"/>
            </w:pPr>
            <w:r>
              <w:rPr>
                <w:rFonts w:ascii="Calibri" w:hAnsi="Calibri"/>
                <w:sz w:val="17"/>
              </w:rPr>
              <w:t xml:space="preserve">Causal adequacy for independently identified perfection-content; exemplarism offers a richer account.</w:t>
            </w:r>
          </w:p>
        </w:tc>
        <w:tc>
          <w:tcPr>
            <w:tcW w:type="dxa" w:w="2749"/>
          </w:tcPr>
          <w:p>
            <w:pPr>
              <w:pStyle w:val="BodyText"/>
              <w:keepNext w:val="0"/>
              <w:spacing w:after="80" w:line="252" w:lineRule="auto"/>
              <w:jc w:val="left"/>
            </w:pPr>
            <w:r>
              <w:rPr>
                <w:rFonts w:ascii="Calibri" w:hAnsi="Calibri"/>
                <w:sz w:val="17"/>
              </w:rPr>
              <w:t xml:space="preserve">A productive source that causes cognition without intrinsically understanding.</w:t>
            </w:r>
          </w:p>
        </w:tc>
      </w:tr>
      <w:tr>
        <w:tc>
          <w:tcPr>
            <w:tcW w:type="dxa" w:w="1689"/>
          </w:tcPr>
          <w:p>
            <w:pPr>
              <w:pStyle w:val="BodyText"/>
              <w:keepNext w:val="0"/>
              <w:spacing w:after="80" w:line="252" w:lineRule="auto"/>
              <w:jc w:val="left"/>
            </w:pPr>
            <w:r>
              <w:rPr>
                <w:rFonts w:ascii="Calibri" w:hAnsi="Calibri"/>
                <w:sz w:val="17"/>
              </w:rPr>
              <w:t xml:space="preserve">Underivation → noncomposition</w:t>
            </w:r>
          </w:p>
        </w:tc>
        <w:tc>
          <w:tcPr>
            <w:tcW w:type="dxa" w:w="2749"/>
          </w:tcPr>
          <w:p>
            <w:pPr>
              <w:pStyle w:val="BodyText"/>
              <w:keepNext w:val="0"/>
              <w:spacing w:after="80" w:line="252" w:lineRule="auto"/>
              <w:jc w:val="left"/>
            </w:pPr>
            <w:r>
              <w:rPr>
                <w:rFonts w:ascii="Calibri" w:hAnsi="Calibri"/>
                <w:sz w:val="17"/>
              </w:rPr>
              <w:t xml:space="preserve">A whole cannot be absolutely underived if its constituents explain the actuality of that whole.</w:t>
            </w:r>
          </w:p>
        </w:tc>
        <w:tc>
          <w:tcPr>
            <w:tcW w:type="dxa" w:w="2749"/>
          </w:tcPr>
          <w:p>
            <w:pPr>
              <w:pStyle w:val="BodyText"/>
              <w:keepNext w:val="0"/>
              <w:spacing w:after="80" w:line="252" w:lineRule="auto"/>
              <w:jc w:val="left"/>
            </w:pPr>
            <w:r>
              <w:rPr>
                <w:rFonts w:ascii="Calibri" w:hAnsi="Calibri"/>
                <w:sz w:val="17"/>
              </w:rPr>
              <w:t xml:space="preserve">The independently interpreted constitution–dependence principle.</w:t>
            </w:r>
          </w:p>
        </w:tc>
        <w:tc>
          <w:tcPr>
            <w:tcW w:type="dxa" w:w="2749"/>
          </w:tcPr>
          <w:p>
            <w:pPr>
              <w:pStyle w:val="BodyText"/>
              <w:keepNext w:val="0"/>
              <w:spacing w:after="80" w:line="252" w:lineRule="auto"/>
              <w:jc w:val="left"/>
            </w:pPr>
            <w:r>
              <w:rPr>
                <w:rFonts w:ascii="Calibri" w:hAnsi="Calibri"/>
                <w:sz w:val="17"/>
              </w:rPr>
              <w:t xml:space="preserve">Brute composite unity, or a whole-priority ontology denying that proper constituents ground the whole’s actuality.</w:t>
            </w:r>
          </w:p>
        </w:tc>
      </w:tr>
      <w:tr>
        <w:tc>
          <w:tcPr>
            <w:tcW w:type="dxa" w:w="1689"/>
          </w:tcPr>
          <w:p>
            <w:pPr>
              <w:pStyle w:val="BodyText"/>
              <w:keepNext w:val="0"/>
              <w:spacing w:after="80" w:line="252" w:lineRule="auto"/>
              <w:jc w:val="left"/>
            </w:pPr>
            <w:r>
              <w:rPr>
                <w:rFonts w:ascii="Calibri" w:hAnsi="Calibri"/>
                <w:sz w:val="17"/>
              </w:rPr>
              <w:t xml:space="preserve">Negative simplicity exclusions → positive plenitude</w:t>
            </w:r>
          </w:p>
        </w:tc>
        <w:tc>
          <w:tcPr>
            <w:tcW w:type="dxa" w:w="2749"/>
          </w:tcPr>
          <w:p>
            <w:pPr>
              <w:pStyle w:val="BodyText"/>
              <w:keepNext w:val="0"/>
              <w:spacing w:after="80" w:line="252" w:lineRule="auto"/>
              <w:jc w:val="left"/>
            </w:pPr>
            <w:r>
              <w:rPr>
                <w:rFonts w:ascii="Calibri" w:hAnsi="Calibri"/>
                <w:sz w:val="17"/>
              </w:rPr>
              <w:t xml:space="preserve">An independently warranted perfection belongs without reception from a more basic actualizer.</w:t>
            </w:r>
          </w:p>
        </w:tc>
        <w:tc>
          <w:tcPr>
            <w:tcW w:type="dxa" w:w="2749"/>
          </w:tcPr>
          <w:p>
            <w:pPr>
              <w:pStyle w:val="BodyText"/>
              <w:keepNext w:val="0"/>
              <w:spacing w:after="80" w:line="252" w:lineRule="auto"/>
              <w:jc w:val="left"/>
            </w:pPr>
            <w:r>
              <w:rPr>
                <w:rFonts w:ascii="Calibri" w:hAnsi="Calibri"/>
                <w:sz w:val="17"/>
              </w:rPr>
              <w:t xml:space="preserve">Arguments establishing the positive perfections themselves.</w:t>
            </w:r>
          </w:p>
        </w:tc>
        <w:tc>
          <w:tcPr>
            <w:tcW w:type="dxa" w:w="2749"/>
          </w:tcPr>
          <w:p>
            <w:pPr>
              <w:pStyle w:val="BodyText"/>
              <w:keepNext w:val="0"/>
              <w:spacing w:after="80" w:line="252" w:lineRule="auto"/>
              <w:jc w:val="left"/>
            </w:pPr>
            <w:r>
              <w:rPr>
                <w:rFonts w:ascii="Calibri" w:hAnsi="Calibri"/>
                <w:sz w:val="17"/>
              </w:rPr>
              <w:t xml:space="preserve">A noncomposite but insufficiently characterized source.</w:t>
            </w:r>
          </w:p>
        </w:tc>
      </w:tr>
      <w:tr>
        <w:tc>
          <w:tcPr>
            <w:tcW w:type="dxa" w:w="1689"/>
          </w:tcPr>
          <w:p>
            <w:pPr>
              <w:pStyle w:val="BodyText"/>
              <w:keepNext w:val="0"/>
              <w:spacing w:after="80" w:line="252" w:lineRule="auto"/>
              <w:jc w:val="left"/>
            </w:pPr>
            <w:r>
              <w:rPr>
                <w:rFonts w:ascii="Calibri" w:hAnsi="Calibri"/>
                <w:sz w:val="17"/>
              </w:rPr>
              <w:t xml:space="preserve">Non-exhaustion → free creation</w:t>
            </w:r>
          </w:p>
        </w:tc>
        <w:tc>
          <w:tcPr>
            <w:tcW w:type="dxa" w:w="2749"/>
          </w:tcPr>
          <w:p>
            <w:pPr>
              <w:pStyle w:val="BodyText"/>
              <w:keepNext w:val="0"/>
              <w:spacing w:after="80" w:line="252" w:lineRule="auto"/>
              <w:jc w:val="left"/>
            </w:pPr>
            <w:r>
              <w:rPr>
                <w:rFonts w:ascii="Calibri" w:hAnsi="Calibri"/>
                <w:sz w:val="17"/>
              </w:rPr>
              <w:t xml:space="preserve">Complete goodness can be expressed without being repaired or completed by expression.</w:t>
            </w:r>
          </w:p>
        </w:tc>
        <w:tc>
          <w:tcPr>
            <w:tcW w:type="dxa" w:w="2749"/>
          </w:tcPr>
          <w:p>
            <w:pPr>
              <w:pStyle w:val="BodyText"/>
              <w:keepNext w:val="0"/>
              <w:spacing w:after="80" w:line="252" w:lineRule="auto"/>
              <w:jc w:val="left"/>
            </w:pPr>
            <w:r>
              <w:rPr>
                <w:rFonts w:ascii="Calibri" w:hAnsi="Calibri"/>
                <w:sz w:val="17"/>
              </w:rPr>
              <w:t xml:space="preserve">Genuine alternatives, rational agency, and voluntary control.</w:t>
            </w:r>
          </w:p>
        </w:tc>
        <w:tc>
          <w:tcPr>
            <w:tcW w:type="dxa" w:w="2749"/>
          </w:tcPr>
          <w:p>
            <w:pPr>
              <w:pStyle w:val="BodyText"/>
              <w:keepNext w:val="0"/>
              <w:spacing w:after="80" w:line="252" w:lineRule="auto"/>
              <w:jc w:val="left"/>
            </w:pPr>
            <w:r>
              <w:rPr>
                <w:rFonts w:ascii="Calibri" w:hAnsi="Calibri"/>
                <w:sz w:val="17"/>
              </w:rPr>
              <w:t xml:space="preserve">An inexhaustible source that necessarily produces one finite world.</w:t>
            </w:r>
          </w:p>
        </w:tc>
      </w:tr>
      <w:tr>
        <w:tc>
          <w:tcPr>
            <w:tcW w:type="dxa" w:w="1689"/>
          </w:tcPr>
          <w:p>
            <w:pPr>
              <w:pStyle w:val="BodyText"/>
              <w:keepNext w:val="0"/>
              <w:spacing w:after="80" w:line="252" w:lineRule="auto"/>
              <w:jc w:val="left"/>
            </w:pPr>
            <w:r>
              <w:rPr>
                <w:rFonts w:ascii="Calibri" w:hAnsi="Calibri"/>
                <w:sz w:val="17"/>
              </w:rPr>
              <w:t xml:space="preserve">Invariant intrinsic actuality → determinate intention</w:t>
            </w:r>
          </w:p>
        </w:tc>
        <w:tc>
          <w:tcPr>
            <w:tcW w:type="dxa" w:w="2749"/>
          </w:tcPr>
          <w:p>
            <w:pPr>
              <w:pStyle w:val="BodyText"/>
              <w:keepNext w:val="0"/>
              <w:spacing w:after="80" w:line="252" w:lineRule="auto"/>
              <w:jc w:val="left"/>
            </w:pPr>
            <w:r>
              <w:rPr>
                <w:rFonts w:ascii="Calibri" w:hAnsi="Calibri"/>
                <w:sz w:val="17"/>
              </w:rPr>
              <w:t xml:space="preserve">The proposed difference belongs to the complete intentional action toward understood content.</w:t>
            </w:r>
          </w:p>
        </w:tc>
        <w:tc>
          <w:tcPr>
            <w:tcW w:type="dxa" w:w="2749"/>
          </w:tcPr>
          <w:p>
            <w:pPr>
              <w:pStyle w:val="BodyText"/>
              <w:keepNext w:val="0"/>
              <w:spacing w:after="80" w:line="252" w:lineRule="auto"/>
              <w:jc w:val="left"/>
            </w:pPr>
            <w:r>
              <w:rPr>
                <w:rFonts w:ascii="Calibri" w:hAnsi="Calibri"/>
                <w:sz w:val="17"/>
              </w:rPr>
              <w:t xml:space="preserve">A defended relational ontology of actual intentional direction.</w:t>
            </w:r>
          </w:p>
        </w:tc>
        <w:tc>
          <w:tcPr>
            <w:tcW w:type="dxa" w:w="2749"/>
          </w:tcPr>
          <w:p>
            <w:pPr>
              <w:pStyle w:val="BodyText"/>
              <w:keepNext w:val="0"/>
              <w:spacing w:after="80" w:line="252" w:lineRule="auto"/>
              <w:jc w:val="left"/>
            </w:pPr>
            <w:r>
              <w:rPr>
                <w:rFonts w:ascii="Calibri" w:hAnsi="Calibri"/>
                <w:sz w:val="17"/>
              </w:rPr>
              <w:t xml:space="preserve">Different intrinsic intentions across alternatives without parts or temporal acquisition.</w:t>
            </w:r>
          </w:p>
        </w:tc>
      </w:tr>
      <w:tr>
        <w:tc>
          <w:tcPr>
            <w:tcW w:type="dxa" w:w="1689"/>
          </w:tcPr>
          <w:p>
            <w:pPr>
              <w:pStyle w:val="BodyText"/>
              <w:keepNext w:val="0"/>
              <w:spacing w:after="80" w:line="252" w:lineRule="auto"/>
              <w:jc w:val="left"/>
            </w:pPr>
            <w:r>
              <w:rPr>
                <w:rFonts w:ascii="Calibri" w:hAnsi="Calibri"/>
                <w:sz w:val="17"/>
              </w:rPr>
              <w:t xml:space="preserve">Intelligent production → knowledge of its effect</w:t>
            </w:r>
          </w:p>
        </w:tc>
        <w:tc>
          <w:tcPr>
            <w:tcW w:type="dxa" w:w="2749"/>
          </w:tcPr>
          <w:p>
            <w:pPr>
              <w:pStyle w:val="BodyText"/>
              <w:keepNext w:val="0"/>
              <w:spacing w:after="80" w:line="252" w:lineRule="auto"/>
              <w:jc w:val="left"/>
            </w:pPr>
            <w:r>
              <w:rPr>
                <w:rFonts w:ascii="Calibri" w:hAnsi="Calibri"/>
                <w:sz w:val="17"/>
              </w:rPr>
              <w:t xml:space="preserve">Awareness of actual execution and its assured efficacy discloses what that execution produces.</w:t>
            </w:r>
          </w:p>
        </w:tc>
        <w:tc>
          <w:tcPr>
            <w:tcW w:type="dxa" w:w="2749"/>
          </w:tcPr>
          <w:p>
            <w:pPr>
              <w:pStyle w:val="BodyText"/>
              <w:keepNext w:val="0"/>
              <w:spacing w:after="80" w:line="252" w:lineRule="auto"/>
              <w:jc w:val="left"/>
            </w:pPr>
            <w:r>
              <w:rPr>
                <w:rFonts w:ascii="Calibri" w:hAnsi="Calibri"/>
                <w:sz w:val="17"/>
              </w:rPr>
              <w:t xml:space="preserve">Adequate, warranted, non-receptive awareness of the actual action.</w:t>
            </w:r>
          </w:p>
        </w:tc>
        <w:tc>
          <w:tcPr>
            <w:tcW w:type="dxa" w:w="2749"/>
          </w:tcPr>
          <w:p>
            <w:pPr>
              <w:pStyle w:val="BodyText"/>
              <w:keepNext w:val="0"/>
              <w:spacing w:after="80" w:line="252" w:lineRule="auto"/>
              <w:jc w:val="left"/>
            </w:pPr>
            <w:r>
              <w:rPr>
                <w:rFonts w:ascii="Calibri" w:hAnsi="Calibri"/>
                <w:sz w:val="17"/>
              </w:rPr>
              <w:t xml:space="preserve">Knowing every possible plan without knowing which action actually occurs.</w:t>
            </w:r>
          </w:p>
        </w:tc>
      </w:tr>
      <w:tr>
        <w:tc>
          <w:tcPr>
            <w:tcW w:type="dxa" w:w="1689"/>
          </w:tcPr>
          <w:p>
            <w:pPr>
              <w:pStyle w:val="BodyText"/>
              <w:keepNext w:val="0"/>
              <w:spacing w:after="80" w:line="252" w:lineRule="auto"/>
              <w:jc w:val="left"/>
            </w:pPr>
            <w:r>
              <w:rPr>
                <w:rFonts w:ascii="Calibri" w:hAnsi="Calibri"/>
                <w:sz w:val="17"/>
              </w:rPr>
              <w:t xml:space="preserve">Sustained power → secondary agency</w:t>
            </w:r>
          </w:p>
        </w:tc>
        <w:tc>
          <w:tcPr>
            <w:tcW w:type="dxa" w:w="2749"/>
          </w:tcPr>
          <w:p>
            <w:pPr>
              <w:pStyle w:val="BodyText"/>
              <w:keepNext w:val="0"/>
              <w:spacing w:after="80" w:line="252" w:lineRule="auto"/>
              <w:jc w:val="left"/>
            </w:pPr>
            <w:r>
              <w:rPr>
                <w:rFonts w:ascii="Calibri" w:hAnsi="Calibri"/>
                <w:sz w:val="17"/>
              </w:rPr>
              <w:t xml:space="preserve">A creature exercises a productive power that remains dependent on its source.</w:t>
            </w:r>
          </w:p>
        </w:tc>
        <w:tc>
          <w:tcPr>
            <w:tcW w:type="dxa" w:w="2749"/>
          </w:tcPr>
          <w:p>
            <w:pPr>
              <w:pStyle w:val="BodyText"/>
              <w:keepNext w:val="0"/>
              <w:spacing w:after="80" w:line="252" w:lineRule="auto"/>
              <w:jc w:val="left"/>
            </w:pPr>
            <w:r>
              <w:rPr>
                <w:rFonts w:ascii="Calibri" w:hAnsi="Calibri"/>
                <w:sz w:val="17"/>
              </w:rPr>
              <w:t xml:space="preserve">The efficacy and authorship of the creature’s own exercise.</w:t>
            </w:r>
          </w:p>
        </w:tc>
        <w:tc>
          <w:tcPr>
            <w:tcW w:type="dxa" w:w="2749"/>
          </w:tcPr>
          <w:p>
            <w:pPr>
              <w:pStyle w:val="BodyText"/>
              <w:keepNext w:val="0"/>
              <w:spacing w:after="80" w:line="252" w:lineRule="auto"/>
              <w:jc w:val="left"/>
            </w:pPr>
            <w:r>
              <w:rPr>
                <w:rFonts w:ascii="Calibri" w:hAnsi="Calibri"/>
                <w:sz w:val="17"/>
              </w:rPr>
              <w:t xml:space="preserve">Occasionalism: divine support replaces creaturely production.</w:t>
            </w:r>
          </w:p>
        </w:tc>
      </w:tr>
      <w:tr>
        <w:tc>
          <w:tcPr>
            <w:tcW w:type="dxa" w:w="1689"/>
          </w:tcPr>
          <w:p>
            <w:pPr>
              <w:pStyle w:val="BodyText"/>
              <w:keepNext w:val="0"/>
              <w:spacing w:after="80" w:line="252" w:lineRule="auto"/>
              <w:jc w:val="left"/>
            </w:pPr>
            <w:r>
              <w:rPr>
                <w:rFonts w:ascii="Calibri" w:hAnsi="Calibri"/>
                <w:sz w:val="17"/>
              </w:rPr>
              <w:t xml:space="preserve">Causal presence → knowledge of permitted choices</w:t>
            </w:r>
          </w:p>
        </w:tc>
        <w:tc>
          <w:tcPr>
            <w:tcW w:type="dxa" w:w="2749"/>
          </w:tcPr>
          <w:p>
            <w:pPr>
              <w:pStyle w:val="BodyText"/>
              <w:keepNext w:val="0"/>
              <w:spacing w:after="80" w:line="252" w:lineRule="auto"/>
              <w:jc w:val="left"/>
            </w:pPr>
            <w:r>
              <w:rPr>
                <w:rFonts w:ascii="Calibri" w:hAnsi="Calibri"/>
                <w:sz w:val="17"/>
              </w:rPr>
              <w:t xml:space="preserve">The proposed source has cognitive access to the choice as actually exercised.</w:t>
            </w:r>
          </w:p>
        </w:tc>
        <w:tc>
          <w:tcPr>
            <w:tcW w:type="dxa" w:w="2749"/>
          </w:tcPr>
          <w:p>
            <w:pPr>
              <w:pStyle w:val="BodyText"/>
              <w:keepNext w:val="0"/>
              <w:spacing w:after="80" w:line="252" w:lineRule="auto"/>
              <w:jc w:val="left"/>
            </w:pPr>
            <w:r>
              <w:rPr>
                <w:rFonts w:ascii="Calibri" w:hAnsi="Calibri"/>
                <w:sz w:val="17"/>
              </w:rPr>
              <w:t xml:space="preserve">A positive account of non-receptive cognitive access; foreknowledge requires a further account of eternity or another defended basis.</w:t>
            </w:r>
          </w:p>
        </w:tc>
        <w:tc>
          <w:tcPr>
            <w:tcW w:type="dxa" w:w="2749"/>
          </w:tcPr>
          <w:p>
            <w:pPr>
              <w:pStyle w:val="BodyText"/>
              <w:keepNext w:val="0"/>
              <w:spacing w:after="80" w:line="252" w:lineRule="auto"/>
              <w:jc w:val="left"/>
            </w:pPr>
            <w:r>
              <w:rPr>
                <w:rFonts w:ascii="Calibri" w:hAnsi="Calibri"/>
                <w:sz w:val="17"/>
              </w:rPr>
              <w:t xml:space="preserve">Causal support without cognitive acquaintance; no complete omniscience follows merely from presence.</w:t>
            </w:r>
          </w:p>
        </w:tc>
      </w:tr>
      <w:tr>
        <w:tc>
          <w:tcPr>
            <w:tcW w:type="dxa" w:w="1689"/>
          </w:tcPr>
          <w:p>
            <w:pPr>
              <w:pStyle w:val="BodyText"/>
              <w:keepNext w:val="0"/>
              <w:spacing w:after="80" w:line="252" w:lineRule="auto"/>
              <w:jc w:val="left"/>
            </w:pPr>
            <w:r>
              <w:rPr>
                <w:rFonts w:ascii="Calibri" w:hAnsi="Calibri"/>
                <w:sz w:val="17"/>
              </w:rPr>
              <w:t xml:space="preserve">Participation → communion</w:t>
            </w:r>
          </w:p>
        </w:tc>
        <w:tc>
          <w:tcPr>
            <w:tcW w:type="dxa" w:w="2749"/>
          </w:tcPr>
          <w:p>
            <w:pPr>
              <w:pStyle w:val="BodyText"/>
              <w:keepNext w:val="0"/>
              <w:spacing w:after="80" w:line="252" w:lineRule="auto"/>
              <w:jc w:val="left"/>
            </w:pPr>
            <w:r>
              <w:rPr>
                <w:rFonts w:ascii="Calibri" w:hAnsi="Calibri"/>
                <w:sz w:val="17"/>
              </w:rPr>
              <w:t xml:space="preserve">Distinct persons genuinely know and love, rather than merely share a cause.</w:t>
            </w:r>
          </w:p>
        </w:tc>
        <w:tc>
          <w:tcPr>
            <w:tcW w:type="dxa" w:w="2749"/>
          </w:tcPr>
          <w:p>
            <w:pPr>
              <w:pStyle w:val="BodyText"/>
              <w:keepNext w:val="0"/>
              <w:spacing w:after="80" w:line="252" w:lineRule="auto"/>
              <w:jc w:val="left"/>
            </w:pPr>
            <w:r>
              <w:rPr>
                <w:rFonts w:ascii="Calibri" w:hAnsi="Calibri"/>
                <w:sz w:val="17"/>
              </w:rPr>
              <w:t xml:space="preserve">Personal capacities, fitting ends, and, for supernatural communion, revelation and grace.</w:t>
            </w:r>
          </w:p>
        </w:tc>
        <w:tc>
          <w:tcPr>
            <w:tcW w:type="dxa" w:w="2749"/>
          </w:tcPr>
          <w:p>
            <w:pPr>
              <w:pStyle w:val="BodyText"/>
              <w:keepNext w:val="0"/>
              <w:spacing w:after="80" w:line="252" w:lineRule="auto"/>
              <w:jc w:val="left"/>
            </w:pPr>
            <w:r>
              <w:rPr>
                <w:rFonts w:ascii="Calibri" w:hAnsi="Calibri"/>
                <w:sz w:val="17"/>
              </w:rPr>
              <w:t xml:space="preserve">Dependence without recognition, love, or personal fulfillment.</w:t>
            </w:r>
          </w:p>
        </w:tc>
      </w:tr>
    </w:tbl>
    <w:p>
      <w:pPr>
        <w:pStyle w:val="BodyText"/>
      </w:pPr>
      <w:r>
        <w:t xml:space="preserve">Nonconstitutive real distinctions remain outside the immediate scope of the noncomposition theorem. These are conditional arguments with identifiable work to do. A countermodel shows why a missing bridge matters; it does not show that every historical defense of that bridge fails. The computational witnesses test stated interpretations, not the philosophical truth of the whole ontology.</w:t>
      </w:r>
    </w:p>
    <w:bookmarkEnd w:id="359"/>
    <w:bookmarkStart w:id="360" w:name="a-concrete-test-for-finite-goods"/>
    <w:p>
      <w:pPr>
        <w:pStyle w:val="Heading3"/>
      </w:pPr>
      <w:r>
        <w:t xml:space="preserve">A concrete test for finite goods</w:t>
      </w:r>
    </w:p>
    <w:p>
      <w:pPr>
        <w:pStyle w:val="FirstParagraph"/>
      </w:pPr>
      <w:r>
        <w:t xml:space="preserve">Ask what happens when the alleged limitation is removed.</w:t>
      </w:r>
    </w:p>
    <w:p>
      <w:pPr>
        <w:pStyle w:val="Compact"/>
        <w:numPr>
          <w:ilvl w:val="0"/>
          <w:numId w:val="1059"/>
        </w:numPr>
      </w:pPr>
      <w:r>
        <w:rPr>
          <w:b/>
          <w:bCs/>
        </w:rPr>
        <w:t xml:space="preserve">Privation:</w:t>
      </w:r>
      <w:r>
        <w:t xml:space="preserve"> </w:t>
      </w:r>
      <w:r>
        <w:t xml:space="preserve">removing ignorance improves understanding.</w:t>
      </w:r>
    </w:p>
    <w:p>
      <w:pPr>
        <w:pStyle w:val="Compact"/>
        <w:numPr>
          <w:ilvl w:val="0"/>
          <w:numId w:val="1059"/>
        </w:numPr>
      </w:pPr>
      <w:r>
        <w:rPr>
          <w:b/>
          <w:bCs/>
        </w:rPr>
        <w:t xml:space="preserve">Constitutive finite condition:</w:t>
      </w:r>
      <w:r>
        <w:t xml:space="preserve"> </w:t>
      </w:r>
      <w:r>
        <w:t xml:space="preserve">removing succession abolishes a melody rather than producing the same melody more perfectly.</w:t>
      </w:r>
    </w:p>
    <w:p>
      <w:pPr>
        <w:pStyle w:val="Compact"/>
        <w:numPr>
          <w:ilvl w:val="0"/>
          <w:numId w:val="1059"/>
        </w:numPr>
      </w:pPr>
      <w:r>
        <w:rPr>
          <w:b/>
          <w:bCs/>
        </w:rPr>
        <w:t xml:space="preserve">Adverse occasion:</w:t>
      </w:r>
      <w:r>
        <w:t xml:space="preserve"> </w:t>
      </w:r>
      <w:r>
        <w:t xml:space="preserve">courage can be good in danger without making the danger good or justifying its manufacture.</w:t>
      </w:r>
    </w:p>
    <w:p>
      <w:pPr>
        <w:pStyle w:val="FirstParagraph"/>
      </w:pPr>
      <w:r>
        <w:t xml:space="preserve">This test supports positive analogy without transferring an entire creaturely mode into God. Grounding the good of learning does not require God to learn. It also protects moral seriousness: healing and forgiveness do not justify illness or injury. Fulfillment can remove defects while preserving the creature’s identity and particular goods.</w:t>
      </w:r>
    </w:p>
    <w:bookmarkEnd w:id="360"/>
    <w:bookmarkStart w:id="361" w:name="where-revelation-changes-the-warrant"/>
    <w:p>
      <w:pPr>
        <w:pStyle w:val="Heading3"/>
      </w:pPr>
      <w:r>
        <w:t xml:space="preserve">Where revelation changes the warrant</w:t>
      </w:r>
    </w:p>
    <w:p>
      <w:pPr>
        <w:pStyle w:val="FirstParagraph"/>
      </w:pPr>
      <w:r>
        <w:t xml:space="preserve">The natural grammar is preparatory. It does not discover the Trinity, the Incarnation, sacramental institution, grace, or beatific vision by manipulating its symbols. Revealed personal origins are not creaturely reception; the Son’s being from the Father does not make the divine essence received from a more basic actuality. The hypostatic union is not merely an intensified case of ordinary participation.</w:t>
      </w:r>
    </w:p>
    <w:p>
      <w:pPr>
        <w:pStyle w:val="BodyText"/>
      </w:pPr>
      <w:r>
        <w:t xml:space="preserve">The manuscript’s account of God as the All names plenitude considered as universal sourcehood, never God and creatures combined into a larger totality. It requires positive perfection and universal sourcehood as well as negative exclusions. The Pauline all-in-all is a further, revealed consummation. In 1 Corinthians 15:20–28, it belongs to resurrection, Christ’s reign, the defeat of death, and the kingdom handed to the Father. This contextual account follows the supplied manuscript; it is not a newly verified translation or a metaphysical deduction from six simplicity arguments. The verse alone does not settle universal salvation.</w:t>
      </w:r>
    </w:p>
    <w:p>
      <w:pPr>
        <w:pStyle w:val="BodyText"/>
      </w:pPr>
      <w:r>
        <w:t xml:space="preserve">The resulting positive thesis is:</w:t>
      </w:r>
      <w:r>
        <w:t xml:space="preserve"> </w:t>
      </w:r>
      <w:r>
        <w:rPr>
          <w:b/>
          <w:bCs/>
        </w:rPr>
        <w:t xml:space="preserve">creation can be fulfilled in God without completing God.</w:t>
      </w:r>
      <w:r>
        <w:t xml:space="preserve"> </w:t>
      </w:r>
      <w:r>
        <w:t xml:space="preserve">The creature’s transformation is real; divine fullness is not assembled from that transformation. Immediate communion need not become exhaustive comprehension or absorption.</w:t>
      </w:r>
    </w:p>
    <w:bookmarkEnd w:id="361"/>
    <w:bookmarkStart w:id="363" w:name="what-this-development-claims"/>
    <w:p>
      <w:pPr>
        <w:pStyle w:val="Heading3"/>
      </w:pPr>
      <w:r>
        <w:t xml:space="preserve">What this development claims</w:t>
      </w:r>
    </w:p>
    <w:p>
      <w:pPr>
        <w:pStyle w:val="FirstParagraph"/>
      </w:pPr>
      <w:r>
        <w:t xml:space="preserve">The contribution is a coordinated explanation of possession, origin, intention, disclosure, and fulfillment. It neither claims an earned seventh proof of simplicity nor introduces a new primitive under a new name. Its Newman-like development test asks whether the synthesis preserves doctrine’s governing type, conserves the earlier achievements, assimilates distinctions without hiding contradictions, and makes the sequence of arguments more intelligible. That is a methodological assessment, not ecclesial certification.</w:t>
      </w:r>
    </w:p>
    <w:p>
      <w:pPr>
        <w:pStyle w:val="BodyText"/>
      </w:pPr>
      <w:r>
        <w:t xml:space="preserve">For each significant conclusion, retain four lines: the proposed explanation; its indispensable bridge; the strongest surviving rival; what remains to be established. This permits a positive metaphysical proposal to have explanatory power without treating its promise as a completed demonstration.</w:t>
      </w:r>
    </w:p>
    <w:p>
      <w:pPr>
        <w:pStyle w:val="BodyText"/>
      </w:pPr>
      <w:r>
        <w:t xml:space="preserve">Read</w:t>
      </w:r>
      <w:r>
        <w:t xml:space="preserve"> </w:t>
      </w:r>
      <w:hyperlink r:id="rId21">
        <w:r>
          <w:rPr>
            <w:rStyle w:val="Hyperlink"/>
          </w:rPr>
          <w:t xml:space="preserve">Participation</w:t>
        </w:r>
      </w:hyperlink>
      <w:r>
        <w:t xml:space="preserve">,</w:t>
      </w:r>
      <w:r>
        <w:t xml:space="preserve"> </w:t>
      </w:r>
      <w:hyperlink r:id="rId22">
        <w:r>
          <w:rPr>
            <w:rStyle w:val="Hyperlink"/>
          </w:rPr>
          <w:t xml:space="preserve">Beyond Participation</w:t>
        </w:r>
      </w:hyperlink>
      <w:r>
        <w:t xml:space="preserve">, and</w:t>
      </w:r>
      <w:r>
        <w:t xml:space="preserve"> </w:t>
      </w:r>
      <w:hyperlink r:id="rId362">
        <w:r>
          <w:rPr>
            <w:rStyle w:val="Hyperlink"/>
          </w:rPr>
          <w:t xml:space="preserve">Divine Agency</w:t>
        </w:r>
      </w:hyperlink>
      <w:r>
        <w:t xml:space="preserve">.</w:t>
      </w:r>
    </w:p>
    <w:bookmarkEnd w:id="363"/>
    <w:bookmarkEnd w:id="364"/>
    <w:sectPr w:rsidR="00FC693F" w:rsidRPr="0006063C" w:rsidSect="00034616">
      <w:headerReference w:type="default" r:id="rId9"/>
      <w:footerReference w:type="default" r:id="rId10"/>
      <w:pgSz w:h="15840" w:w="12240"/>
      <w:pgMar w:bottom="1152" w:footer="432" w:gutter="0" w:header="432" w:left="1152" w:right="1152" w:top="1152"/>
      <w:cols w:space="720"/>
      <w:titlePg/>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Complete website backup · October 14, 2026  |  Page </w:t>
    </w:r>
    <w:r/>
    <w:fldSimple w:instr="PAGE"/>
    <w:r>
      <w:t xml:space="preserve"> of </w:t>
    </w:r>
    <w:r/>
    <w:fldSimple w:instr="NUMPAGES"/>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PARTICIPATION RESEARCH ATLAS  |  PART III</w:t>
    </w:r>
  </w:p>
</w:hdr>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5">
    <w:abstractNumId w:val="991"/>
  </w:num>
  <w:num w:numId="1056">
    <w:abstractNumId w:val="991"/>
  </w:num>
  <w:num w:numId="1057">
    <w:abstractNumId w:val="991"/>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spacing w:after="140" w:line="276" w:lineRule="auto"/>
    </w:pPr>
    <w:rPr>
      <w:rFonts w:ascii="Cambria" w:hAnsi="Cambria"/>
      <w:color w:val="263432"/>
      <w:sz w:val="22"/>
    </w:rPr>
  </w:style>
  <w:style w:styleId="Header" w:type="paragraph">
    <w:name w:val="header"/>
    <w:basedOn w:val="Normal"/>
    <w:link w:val="HeaderChar"/>
    <w:uiPriority w:val="99"/>
    <w:unhideWhenUsed/>
    <w:rsid w:val="00E618BF"/>
    <w:pPr>
      <w:tabs>
        <w:tab w:pos="4680" w:val="center"/>
        <w:tab w:pos="9360" w:val="right"/>
      </w:tabs>
      <w:spacing w:after="0" w:line="240" w:lineRule="auto"/>
    </w:pPr>
    <w:rPr>
      <w:rFonts w:ascii="Calibri" w:hAnsi="Calibri"/>
      <w:color w:val="64716B"/>
      <w:sz w:val="18"/>
    </w:r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rPr>
      <w:rFonts w:ascii="Calibri" w:hAnsi="Calibri"/>
      <w:color w:val="64716B"/>
      <w:sz w:val="18"/>
    </w:r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pageBreakBefore/>
      <w:spacing w:after="180" w:before="340"/>
      <w:outlineLvl w:val="0"/>
    </w:pPr>
    <w:rPr>
      <w:rFonts w:ascii="Georgia" w:asciiTheme="majorHAnsi" w:cstheme="majorBidi" w:eastAsiaTheme="majorEastAsia" w:hAnsi="Georgia" w:hAnsiTheme="majorHAnsi"/>
      <w:b/>
      <w:bCs/>
      <w:color w:val="223C3A"/>
      <w:sz w:val="40"/>
      <w:szCs w:val="28"/>
    </w:rPr>
  </w:style>
  <w:style w:styleId="Heading2" w:type="paragraph">
    <w:name w:val="heading 2"/>
    <w:basedOn w:val="Normal"/>
    <w:next w:val="Normal"/>
    <w:link w:val="Heading2Char"/>
    <w:uiPriority w:val="9"/>
    <w:unhideWhenUsed/>
    <w:qFormat/>
    <w:rsid w:val="00FC693F"/>
    <w:pPr>
      <w:keepNext/>
      <w:keepLines/>
      <w:spacing w:after="180" w:before="340"/>
      <w:outlineLvl w:val="1"/>
    </w:pPr>
    <w:rPr>
      <w:rFonts w:ascii="Georgia" w:asciiTheme="majorHAnsi" w:cstheme="majorBidi" w:eastAsiaTheme="majorEastAsia" w:hAnsi="Georgia" w:hAnsiTheme="majorHAnsi"/>
      <w:b/>
      <w:bCs/>
      <w:color w:val="223C3A"/>
      <w:sz w:val="30"/>
      <w:szCs w:val="26"/>
    </w:rPr>
  </w:style>
  <w:style w:styleId="Heading3" w:type="paragraph">
    <w:name w:val="heading 3"/>
    <w:basedOn w:val="Normal"/>
    <w:next w:val="Normal"/>
    <w:link w:val="Heading3Char"/>
    <w:uiPriority w:val="9"/>
    <w:unhideWhenUsed/>
    <w:qFormat/>
    <w:rsid w:val="00FC693F"/>
    <w:pPr>
      <w:keepNext/>
      <w:keepLines/>
      <w:spacing w:after="180" w:before="340"/>
      <w:outlineLvl w:val="2"/>
    </w:pPr>
    <w:rPr>
      <w:rFonts w:ascii="Georgia" w:asciiTheme="majorHAnsi" w:cstheme="majorBidi" w:eastAsiaTheme="majorEastAsia" w:hAnsi="Georgia" w:hAnsiTheme="majorHAnsi"/>
      <w:b/>
      <w:bCs/>
      <w:color w:val="223C3A"/>
      <w:sz w:val="24"/>
    </w:rPr>
  </w:style>
  <w:style w:styleId="Heading4" w:type="paragraph">
    <w:name w:val="heading 4"/>
    <w:basedOn w:val="Normal"/>
    <w:next w:val="Normal"/>
    <w:link w:val="Heading4Char"/>
    <w:uiPriority w:val="9"/>
    <w:semiHidden/>
    <w:unhideWhenUsed/>
    <w:qFormat/>
    <w:rsid w:val="00FC693F"/>
    <w:pPr>
      <w:keepNext/>
      <w:keepLines/>
      <w:spacing w:after="180" w:before="340"/>
      <w:outlineLvl w:val="3"/>
    </w:pPr>
    <w:rPr>
      <w:rFonts w:ascii="Georgia" w:asciiTheme="majorHAnsi" w:cstheme="majorBidi" w:eastAsiaTheme="majorEastAsia" w:hAnsi="Georgia" w:hAnsiTheme="majorHAnsi"/>
      <w:b/>
      <w:bCs/>
      <w:i/>
      <w:iCs/>
      <w:color w:val="223C3A"/>
      <w:sz w:val="22"/>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keepNext/>
      <w:pBdr>
        <w:bottom w:color="4F81BD" w:space="4" w:sz="8" w:themeColor="accent1" w:val="single"/>
      </w:pBdr>
      <w:spacing w:after="180" w:before="800" w:line="240" w:lineRule="auto"/>
      <w:contextualSpacing/>
    </w:pPr>
    <w:rPr>
      <w:rFonts w:ascii="Georgia" w:asciiTheme="majorHAnsi" w:cstheme="majorBidi" w:eastAsiaTheme="majorEastAsia" w:hAnsi="Georgia" w:hAnsiTheme="majorHAnsi"/>
      <w:color w:val="223C3A"/>
      <w:spacing w:val="5"/>
      <w:kern w:val="28"/>
      <w:sz w:val="58"/>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Cambria" w:asciiTheme="majorHAnsi" w:cstheme="majorBidi" w:eastAsiaTheme="majorEastAsia" w:hAnsi="Cambria" w:hAnsiTheme="majorHAnsi"/>
      <w:i/>
      <w:iCs/>
      <w:color w:val="9D593C"/>
      <w:spacing w:val="15"/>
      <w:sz w:val="30"/>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40" w:line="276" w:lineRule="auto"/>
    </w:pPr>
    <w:rPr>
      <w:rFonts w:ascii="Cambria" w:hAnsi="Cambria"/>
      <w:color w:val="263432"/>
      <w:sz w:val="22"/>
    </w:r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customStyle="1" w:styleId="SourceCode" w:type="paragraph">
    <w:name w:val="Source Code"/>
    <w:rPr>
      <w:rFonts w:ascii="DejaVu Sans Mono" w:hAnsi="DejaVu Sans Mono"/>
      <w:sz w:val="16"/>
    </w:rPr>
  </w:style>
  <w:style w:customStyle="1" w:styleId="VerbatimChar" w:type="character">
    <w:name w:val="Verbatim Char"/>
    <w:rPr>
      <w:rFonts w:ascii="DejaVu Sans Mono" w:hAnsi="DejaVu Sans Mono"/>
      <w:sz w:val="16"/>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84" Type="http://schemas.openxmlformats.org/officeDocument/2006/relationships/hyperlink" Target="https://ccel.org/ccel/rolt/dionysius/dionysius.iv.iii.html" TargetMode="External"/><Relationship Id="rId86" Type="http://schemas.openxmlformats.org/officeDocument/2006/relationships/hyperlink" Target="https://ccel.org/ccel/rolt/dionysius/dionysius.iv.vi.html" TargetMode="External"/><Relationship Id="rId33" Type="http://schemas.openxmlformats.org/officeDocument/2006/relationships/hyperlink" Target="https://ccel.org/ccel/rolt/dionysius/dionysius.iv.viii.html" TargetMode="External"/><Relationship Id="rId89" Type="http://schemas.openxmlformats.org/officeDocument/2006/relationships/hyperlink" Target="https://ccel.org/ccel/rolt/dionysius/dionysius.iv.x.html" TargetMode="External"/><Relationship Id="rId41" Type="http://schemas.openxmlformats.org/officeDocument/2006/relationships/hyperlink" Target="https://ccel.org/ccel/schaff/npnf207/npnf207.iii.xv.html" TargetMode="External"/><Relationship Id="rId132" Type="http://schemas.openxmlformats.org/officeDocument/2006/relationships/hyperlink" Target="https://doi.org/10.1177/00211400221144750" TargetMode="External"/><Relationship Id="rId21" Type="http://schemas.openxmlformats.org/officeDocument/2006/relationships/hyperlink" Target="https://participation-6o4.pages.dev/" TargetMode="External"/><Relationship Id="rId22" Type="http://schemas.openxmlformats.org/officeDocument/2006/relationships/hyperlink" Target="https://participation-6o4.pages.dev/beyond-participation/" TargetMode="External"/><Relationship Id="rId71" Type="http://schemas.openxmlformats.org/officeDocument/2006/relationships/hyperlink" Target="https://participation-6o4.pages.dev/beyond-participation/#knowledge" TargetMode="External"/><Relationship Id="rId362" Type="http://schemas.openxmlformats.org/officeDocument/2006/relationships/hyperlink" Target="https://participation-6o4.pages.dev/real-difference/" TargetMode="External"/><Relationship Id="rId62" Type="http://schemas.openxmlformats.org/officeDocument/2006/relationships/hyperlink" Target="https://participation-6o4.pages.dev/real-difference/#cases" TargetMode="External"/><Relationship Id="rId61" Type="http://schemas.openxmlformats.org/officeDocument/2006/relationships/hyperlink" Target="https://participation-6o4.pages.dev/real-difference/#exercise" TargetMode="External"/><Relationship Id="rId78" Type="http://schemas.openxmlformats.org/officeDocument/2006/relationships/hyperlink" Target="https://participation-6o4.pages.dev/real-difference/#finite-good" TargetMode="External"/><Relationship Id="rId70" Type="http://schemas.openxmlformats.org/officeDocument/2006/relationships/hyperlink" Target="https://participation-6o4.pages.dev/real-difference/#knowledge" TargetMode="External"/><Relationship Id="rId63" Type="http://schemas.openxmlformats.org/officeDocument/2006/relationships/hyperlink" Target="https://participation-6o4.pages.dev/real-difference/#stops" TargetMode="External"/><Relationship Id="rId79" Type="http://schemas.openxmlformats.org/officeDocument/2006/relationships/hyperlink" Target="https://participation-6o4.pages.dev/real-difference/#voices" TargetMode="External"/><Relationship Id="rId127" Type="http://schemas.openxmlformats.org/officeDocument/2006/relationships/hyperlink" Target="https://participation-6o4.pages.dev/research/reading-guide.md" TargetMode="External"/><Relationship Id="rId129" Type="http://schemas.openxmlformats.org/officeDocument/2006/relationships/hyperlink" Target="https://participation-6o4.pages.dev/research/real-difference-formal.md" TargetMode="External"/><Relationship Id="rId131" Type="http://schemas.openxmlformats.org/officeDocument/2006/relationships/hyperlink" Target="https://participation-6o4.pages.dev/research/real-difference-ledger.json" TargetMode="External"/><Relationship Id="rId128" Type="http://schemas.openxmlformats.org/officeDocument/2006/relationships/hyperlink" Target="https://participation-6o4.pages.dev/research/real-difference-report.md" TargetMode="External"/><Relationship Id="rId130" Type="http://schemas.openxmlformats.org/officeDocument/2006/relationships/hyperlink" Target="https://participation-6o4.pages.dev/research/real-difference-sources.md" TargetMode="External"/><Relationship Id="rId122" Type="http://schemas.openxmlformats.org/officeDocument/2006/relationships/hyperlink" Target="https://plato.stanford.edu/entries/augustine/" TargetMode="External"/><Relationship Id="rId31" Type="http://schemas.openxmlformats.org/officeDocument/2006/relationships/hyperlink" Target="https://plato.stanford.edu/entries/bonaventure/" TargetMode="External"/><Relationship Id="rId35" Type="http://schemas.openxmlformats.org/officeDocument/2006/relationships/hyperlink" Target="https://plato.stanford.edu/entries/scottus-eriugena/" TargetMode="External"/><Relationship Id="rId125" Type="http://schemas.openxmlformats.org/officeDocument/2006/relationships/hyperlink" Target="https://raw.githubusercontent.com/GITenberg/An-Essay-on-the-Development-of-Christian-Doctrine_35110/master/35110.txt" TargetMode="External"/><Relationship Id="rId113" Type="http://schemas.openxmlformats.org/officeDocument/2006/relationships/hyperlink" Target="https://raw.githubusercontent.com/GITenberg/Summa-Theologica-Part-I--Prima-Pars-From-the-Complete-American-Edition_17611/master/17611.txt" TargetMode="External"/><Relationship Id="rId102" Type="http://schemas.openxmlformats.org/officeDocument/2006/relationships/hyperlink" Target="https://raw.githubusercontent.com/jackransomlovell/popes/master/encyclicals_texts/Benedict%20XVI/Caritas%20in%20veritate%20%28June%2029%2C%202009%29%20%20BENEDICT%20XVI.txt" TargetMode="External"/><Relationship Id="rId105" Type="http://schemas.openxmlformats.org/officeDocument/2006/relationships/hyperlink" Target="https://raw.githubusercontent.com/jackransomlovell/popes/master/encyclicals_texts/Benedict%20XVI/Deus%20caritas%20est%20%28December%2025%2C%202005%29%20%20BENEDICT%20XVI.txt" TargetMode="External"/><Relationship Id="rId108" Type="http://schemas.openxmlformats.org/officeDocument/2006/relationships/hyperlink" Target="https://raw.githubusercontent.com/jackransomlovell/popes/master/encyclicals_texts/Benedict%20XVI/Spe%20salvi%20%28November%2030%2C%202007%29%20%20BENEDICT%20XVI.txt" TargetMode="External"/><Relationship Id="rId37" Type="http://schemas.openxmlformats.org/officeDocument/2006/relationships/hyperlink" Target="https://raw.githubusercontent.com/robertvsiii/maximus-confessor/5ef8d8b33bb7e16576f4b5445db7ee07541aff9f/texts/maximus/maximus_confessor.ambigua_iohannem.tess" TargetMode="External"/><Relationship Id="rId39" Type="http://schemas.openxmlformats.org/officeDocument/2006/relationships/hyperlink" Target="https://raw.githubusercontent.com/standardebooks/gregory-of-nyssa_on-the-making-of-man_william-moore_henry-austin-wilson/master/src/epub/text/chapter-16.xhtml" TargetMode="External"/><Relationship Id="rId110" Type="http://schemas.openxmlformats.org/officeDocument/2006/relationships/hyperlink" Target="https://www.communio-icr.com/articles/view/concerning-the-notion-of-person-in-theology" TargetMode="External"/><Relationship Id="rId124" Type="http://schemas.openxmlformats.org/officeDocument/2006/relationships/hyperlink" Target="https://www.gutenberg.org/ebooks/35110" TargetMode="External"/><Relationship Id="rId120" Type="http://schemas.openxmlformats.org/officeDocument/2006/relationships/hyperlink" Target="https://www.newadvent.org/fathers/110104.htm" TargetMode="External"/><Relationship Id="rId112" Type="http://schemas.openxmlformats.org/officeDocument/2006/relationships/hyperlink" Target="https://www.newadvent.org/summa/1003.htm#article7" TargetMode="External"/><Relationship Id="rId115" Type="http://schemas.openxmlformats.org/officeDocument/2006/relationships/hyperlink" Target="https://www.newadvent.org/summa/1014.htm" TargetMode="External"/><Relationship Id="rId45" Type="http://schemas.openxmlformats.org/officeDocument/2006/relationships/hyperlink" Target="https://www.newadvent.org/summa/1019.htm" TargetMode="External"/><Relationship Id="rId118" Type="http://schemas.openxmlformats.org/officeDocument/2006/relationships/hyperlink" Target="https://www.newadvent.org/summa/1045.htm#article3" TargetMode="External"/><Relationship Id="rId104" Type="http://schemas.openxmlformats.org/officeDocument/2006/relationships/hyperlink" Target="https://www.vatican.va/content/benedict-xvi/en/encyclicals/documents/hf_ben-xvi_enc_20051225_deus-caritas-est.html" TargetMode="External"/><Relationship Id="rId107" Type="http://schemas.openxmlformats.org/officeDocument/2006/relationships/hyperlink" Target="https://www.vatican.va/content/benedict-xvi/en/encyclicals/documents/hf_ben-xvi_enc_20071130_spe-salvi.html" TargetMode="External"/><Relationship Id="rId43" Type="http://schemas.openxmlformats.org/officeDocument/2006/relationships/hyperlink" Target="https://www.vatican.va/content/benedict-xvi/en/encyclicals/documents/hf_ben-xvi_enc_20090629_caritas-in-veritate.html" TargetMode="External"/><Relationship Id="rId9" Type="http://schemas.openxmlformats.org/officeDocument/2006/relationships/header" Target="header1.xml"/><Relationship Id="rId10" Type="http://schemas.openxmlformats.org/officeDocument/2006/relationships/footer" Target="footer1.xml"/></Relationships>
</file>

<file path=word/_rels/footnotes.xml.rels><?xml version='1.0' encoding='UTF-8' standalone='yes'?>
<Relationships xmlns="http://schemas.openxmlformats.org/package/2006/relationships"><Relationship Id="rId84" Type="http://schemas.openxmlformats.org/officeDocument/2006/relationships/hyperlink" Target="https://ccel.org/ccel/rolt/dionysius/dionysius.iv.iii.html" TargetMode="External"/><Relationship Id="rId86" Type="http://schemas.openxmlformats.org/officeDocument/2006/relationships/hyperlink" Target="https://ccel.org/ccel/rolt/dionysius/dionysius.iv.vi.html" TargetMode="External"/><Relationship Id="rId33" Type="http://schemas.openxmlformats.org/officeDocument/2006/relationships/hyperlink" Target="https://ccel.org/ccel/rolt/dionysius/dionysius.iv.viii.html" TargetMode="External"/><Relationship Id="rId89" Type="http://schemas.openxmlformats.org/officeDocument/2006/relationships/hyperlink" Target="https://ccel.org/ccel/rolt/dionysius/dionysius.iv.x.html" TargetMode="External"/><Relationship Id="rId41" Type="http://schemas.openxmlformats.org/officeDocument/2006/relationships/hyperlink" Target="https://ccel.org/ccel/schaff/npnf207/npnf207.iii.xv.html" TargetMode="External"/><Relationship Id="rId132" Type="http://schemas.openxmlformats.org/officeDocument/2006/relationships/hyperlink" Target="https://doi.org/10.1177/00211400221144750" TargetMode="External"/><Relationship Id="rId21" Type="http://schemas.openxmlformats.org/officeDocument/2006/relationships/hyperlink" Target="https://participation-6o4.pages.dev/" TargetMode="External"/><Relationship Id="rId22" Type="http://schemas.openxmlformats.org/officeDocument/2006/relationships/hyperlink" Target="https://participation-6o4.pages.dev/beyond-participation/" TargetMode="External"/><Relationship Id="rId71" Type="http://schemas.openxmlformats.org/officeDocument/2006/relationships/hyperlink" Target="https://participation-6o4.pages.dev/beyond-participation/#knowledge" TargetMode="External"/><Relationship Id="rId362" Type="http://schemas.openxmlformats.org/officeDocument/2006/relationships/hyperlink" Target="https://participation-6o4.pages.dev/real-difference/" TargetMode="External"/><Relationship Id="rId62" Type="http://schemas.openxmlformats.org/officeDocument/2006/relationships/hyperlink" Target="https://participation-6o4.pages.dev/real-difference/#cases" TargetMode="External"/><Relationship Id="rId61" Type="http://schemas.openxmlformats.org/officeDocument/2006/relationships/hyperlink" Target="https://participation-6o4.pages.dev/real-difference/#exercise" TargetMode="External"/><Relationship Id="rId78" Type="http://schemas.openxmlformats.org/officeDocument/2006/relationships/hyperlink" Target="https://participation-6o4.pages.dev/real-difference/#finite-good" TargetMode="External"/><Relationship Id="rId70" Type="http://schemas.openxmlformats.org/officeDocument/2006/relationships/hyperlink" Target="https://participation-6o4.pages.dev/real-difference/#knowledge" TargetMode="External"/><Relationship Id="rId63" Type="http://schemas.openxmlformats.org/officeDocument/2006/relationships/hyperlink" Target="https://participation-6o4.pages.dev/real-difference/#stops" TargetMode="External"/><Relationship Id="rId79" Type="http://schemas.openxmlformats.org/officeDocument/2006/relationships/hyperlink" Target="https://participation-6o4.pages.dev/real-difference/#voices" TargetMode="External"/><Relationship Id="rId127" Type="http://schemas.openxmlformats.org/officeDocument/2006/relationships/hyperlink" Target="https://participation-6o4.pages.dev/research/reading-guide.md" TargetMode="External"/><Relationship Id="rId129" Type="http://schemas.openxmlformats.org/officeDocument/2006/relationships/hyperlink" Target="https://participation-6o4.pages.dev/research/real-difference-formal.md" TargetMode="External"/><Relationship Id="rId131" Type="http://schemas.openxmlformats.org/officeDocument/2006/relationships/hyperlink" Target="https://participation-6o4.pages.dev/research/real-difference-ledger.json" TargetMode="External"/><Relationship Id="rId128" Type="http://schemas.openxmlformats.org/officeDocument/2006/relationships/hyperlink" Target="https://participation-6o4.pages.dev/research/real-difference-report.md" TargetMode="External"/><Relationship Id="rId130" Type="http://schemas.openxmlformats.org/officeDocument/2006/relationships/hyperlink" Target="https://participation-6o4.pages.dev/research/real-difference-sources.md" TargetMode="External"/><Relationship Id="rId122" Type="http://schemas.openxmlformats.org/officeDocument/2006/relationships/hyperlink" Target="https://plato.stanford.edu/entries/augustine/" TargetMode="External"/><Relationship Id="rId31" Type="http://schemas.openxmlformats.org/officeDocument/2006/relationships/hyperlink" Target="https://plato.stanford.edu/entries/bonaventure/" TargetMode="External"/><Relationship Id="rId35" Type="http://schemas.openxmlformats.org/officeDocument/2006/relationships/hyperlink" Target="https://plato.stanford.edu/entries/scottus-eriugena/" TargetMode="External"/><Relationship Id="rId125" Type="http://schemas.openxmlformats.org/officeDocument/2006/relationships/hyperlink" Target="https://raw.githubusercontent.com/GITenberg/An-Essay-on-the-Development-of-Christian-Doctrine_35110/master/35110.txt" TargetMode="External"/><Relationship Id="rId113" Type="http://schemas.openxmlformats.org/officeDocument/2006/relationships/hyperlink" Target="https://raw.githubusercontent.com/GITenberg/Summa-Theologica-Part-I--Prima-Pars-From-the-Complete-American-Edition_17611/master/17611.txt" TargetMode="External"/><Relationship Id="rId102" Type="http://schemas.openxmlformats.org/officeDocument/2006/relationships/hyperlink" Target="https://raw.githubusercontent.com/jackransomlovell/popes/master/encyclicals_texts/Benedict%20XVI/Caritas%20in%20veritate%20%28June%2029%2C%202009%29%20%20BENEDICT%20XVI.txt" TargetMode="External"/><Relationship Id="rId105" Type="http://schemas.openxmlformats.org/officeDocument/2006/relationships/hyperlink" Target="https://raw.githubusercontent.com/jackransomlovell/popes/master/encyclicals_texts/Benedict%20XVI/Deus%20caritas%20est%20%28December%2025%2C%202005%29%20%20BENEDICT%20XVI.txt" TargetMode="External"/><Relationship Id="rId108" Type="http://schemas.openxmlformats.org/officeDocument/2006/relationships/hyperlink" Target="https://raw.githubusercontent.com/jackransomlovell/popes/master/encyclicals_texts/Benedict%20XVI/Spe%20salvi%20%28November%2030%2C%202007%29%20%20BENEDICT%20XVI.txt" TargetMode="External"/><Relationship Id="rId37" Type="http://schemas.openxmlformats.org/officeDocument/2006/relationships/hyperlink" Target="https://raw.githubusercontent.com/robertvsiii/maximus-confessor/5ef8d8b33bb7e16576f4b5445db7ee07541aff9f/texts/maximus/maximus_confessor.ambigua_iohannem.tess" TargetMode="External"/><Relationship Id="rId39" Type="http://schemas.openxmlformats.org/officeDocument/2006/relationships/hyperlink" Target="https://raw.githubusercontent.com/standardebooks/gregory-of-nyssa_on-the-making-of-man_william-moore_henry-austin-wilson/master/src/epub/text/chapter-16.xhtml" TargetMode="External"/><Relationship Id="rId110" Type="http://schemas.openxmlformats.org/officeDocument/2006/relationships/hyperlink" Target="https://www.communio-icr.com/articles/view/concerning-the-notion-of-person-in-theology" TargetMode="External"/><Relationship Id="rId124" Type="http://schemas.openxmlformats.org/officeDocument/2006/relationships/hyperlink" Target="https://www.gutenberg.org/ebooks/35110" TargetMode="External"/><Relationship Id="rId120" Type="http://schemas.openxmlformats.org/officeDocument/2006/relationships/hyperlink" Target="https://www.newadvent.org/fathers/110104.htm" TargetMode="External"/><Relationship Id="rId112" Type="http://schemas.openxmlformats.org/officeDocument/2006/relationships/hyperlink" Target="https://www.newadvent.org/summa/1003.htm#article7" TargetMode="External"/><Relationship Id="rId115" Type="http://schemas.openxmlformats.org/officeDocument/2006/relationships/hyperlink" Target="https://www.newadvent.org/summa/1014.htm" TargetMode="External"/><Relationship Id="rId45" Type="http://schemas.openxmlformats.org/officeDocument/2006/relationships/hyperlink" Target="https://www.newadvent.org/summa/1019.htm" TargetMode="External"/><Relationship Id="rId118" Type="http://schemas.openxmlformats.org/officeDocument/2006/relationships/hyperlink" Target="https://www.newadvent.org/summa/1045.htm#article3" TargetMode="External"/><Relationship Id="rId104" Type="http://schemas.openxmlformats.org/officeDocument/2006/relationships/hyperlink" Target="https://www.vatican.va/content/benedict-xvi/en/encyclicals/documents/hf_ben-xvi_enc_20051225_deus-caritas-est.html" TargetMode="External"/><Relationship Id="rId107" Type="http://schemas.openxmlformats.org/officeDocument/2006/relationships/hyperlink" Target="https://www.vatican.va/content/benedict-xvi/en/encyclicals/documents/hf_ben-xvi_enc_20071130_spe-salvi.html" TargetMode="External"/><Relationship Id="rId43" Type="http://schemas.openxmlformats.org/officeDocument/2006/relationships/hyperlink" Target="https://www.vatican.va/content/benedict-xvi/en/encyclicals/documents/hf_ben-xvi_enc_20090629_caritas-in-veritat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Divine Agency: Simplicity and Free Creation</dc:title>
  <dc:creator>Participation research atlas</dc:creator>
  <dc:language>en-US</dc:language>
  <cp:keywords>participation; divine agency; simplicity; free creation; complete backup</cp:keywords>
  <dcterms:created xsi:type="dcterms:W3CDTF">2026-10-14T14:15:58Z</dcterms:created>
  <dcterms:modified xsi:type="dcterms:W3CDTF">2026-10-14T14:15:58Z</dcterms:modified>
  <dc:subject>Complete backup of the website, interactive examples, and supporting research</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October 14, 2026</vt:lpwstr>
  </property>
  <property fmtid="{D5CDD505-2E9C-101B-9397-08002B2CF9AE}" pid="3" name="subtitle">
    <vt:lpwstr>Simplicity and Free Creation | Complete website backup</vt:lpwstr>
  </property>
</Properties>
</file>