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Beyond Participation</w:t>
      </w:r>
    </w:p>
    <w:p>
      <w:pPr>
        <w:pStyle w:val="Subtitle"/>
      </w:pPr>
      <w:r>
        <w:t xml:space="preserve">Divine Simplicity and Freedom | Complete website backup</w:t>
      </w:r>
    </w:p>
    <w:p>
      <w:pPr>
        <w:pStyle w:val="Date"/>
      </w:pPr>
      <w:r>
        <w:t xml:space="preserve">October 14,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beyond-report.md</w:t>
      </w:r>
    </w:p>
    <w:p>
      <w:pPr>
        <w:pStyle w:val="BodyText"/>
      </w:pPr>
      <w:r>
        <w:t xml:space="preserve">Appendix B — beyond-formal.md</w:t>
      </w:r>
    </w:p>
    <w:p>
      <w:pPr>
        <w:pStyle w:val="BodyText"/>
      </w:pPr>
      <w:r>
        <w:t xml:space="preserve">Appendix C — beyond-sources.md</w:t>
      </w:r>
    </w:p>
    <w:p>
      <w:pPr>
        <w:pStyle w:val="BodyText"/>
      </w:pPr>
      <w:r>
        <w:t xml:space="preserve">Appendix D — beyond-development.md</w:t>
      </w:r>
    </w:p>
    <w:p>
      <w:pPr>
        <w:pStyle w:val="BodyText"/>
      </w:pPr>
      <w:r>
        <w:t xml:space="preserve">Appendix E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https:/​/​participation-​6o4.​pages.​dev/​beyond-​participation/​</w:t>
      </w:r>
    </w:p>
    <w:p>
      <w:pPr>
        <w:pStyle w:val="BodyText"/>
      </w:pPr>
      <w:r>
        <w:t xml:space="preserve">Backup snapshot: October 14,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PART II / DIVINE SIMPLICITY AND FREEDOM</w:t>
      </w:r>
    </w:p>
    <w:p>
      <w:pPr>
        <w:pStyle w:val="BodyText"/>
      </w:pPr>
      <w:r>
        <w:rPr>
          <w:b/>
          <w:bCs/>
        </w:rPr>
        <w:t xml:space="preserve">Underived.Simple?Free?</w:t>
      </w:r>
    </w:p>
    <w:p>
      <w:pPr>
        <w:pStyle w:val="BodyText"/>
      </w:pPr>
      <w:r>
        <w:t xml:space="preserve">From noncomposition to positive fullness, free creative agency, and knowledge without learning from effects. Which further arguments carry each step?</w:t>
      </w:r>
    </w:p>
    <w:p>
      <w:pPr>
        <w:pStyle w:val="BodyText"/>
      </w:pPr>
      <w:r>
        <w:t xml:space="preserve">The</w:t>
      </w:r>
      <w:r>
        <w:t xml:space="preserve"> </w:t>
      </w:r>
      <w:hyperlink r:id="rId20">
        <w:r>
          <w:rPr>
            <w:rStyle w:val="Hyperlink"/>
          </w:rPr>
          <w:t xml:space="preserve">shared reading guide</w:t>
        </w:r>
      </w:hyperlink>
      <w:r>
        <w:t xml:space="preserve"> </w:t>
      </w:r>
      <w:r>
        <w:t xml:space="preserve">explains the five analytical jobs and how the three investigations fit together.</w:t>
      </w:r>
    </w:p>
    <w:p>
      <w:pPr>
        <w:pStyle w:val="BodyText"/>
      </w:pPr>
      <w:r>
        <w:t xml:space="preserve">THE ASSUMED STARTING POINT</w:t>
      </w:r>
    </w:p>
    <w:p>
      <w:pPr>
        <w:pStyle w:val="BodyText"/>
      </w:pPr>
      <w:r>
        <w:t xml:space="preserve">g</w:t>
      </w:r>
    </w:p>
    <w:p>
      <w:pPr>
        <w:pStyle w:val="BodyText"/>
      </w:pPr>
    </w:p>
    <w:p>
      <w:pPr>
        <w:pStyle w:val="BodyText"/>
      </w:pPr>
      <w:r>
        <w:rPr>
          <w:b/>
          <w:bCs/>
        </w:rPr>
        <w:t xml:space="preserve">A</w:t>
      </w:r>
      <w:r>
        <w:t xml:space="preserve">one order</w:t>
      </w:r>
    </w:p>
    <w:p>
      <w:pPr>
        <w:pStyle w:val="BodyText"/>
      </w:pPr>
      <w:r>
        <w:rPr>
          <w:b/>
          <w:bCs/>
        </w:rPr>
        <w:t xml:space="preserve">B</w:t>
      </w:r>
      <w:r>
        <w:t xml:space="preserve">another order</w:t>
      </w:r>
    </w:p>
    <w:p>
      <w:pPr>
        <w:pStyle w:val="BodyText"/>
      </w:pPr>
      <w:r>
        <w:rPr>
          <w:b/>
          <w:bCs/>
        </w:rPr>
        <w:t xml:space="preserve">∅</w:t>
      </w:r>
      <w:r>
        <w:t xml:space="preserve">no creation</w:t>
      </w:r>
    </w:p>
    <w:p>
      <w:pPr>
        <w:pStyle w:val="BodyText"/>
      </w:pPr>
      <w:r>
        <w:t xml:space="preserve">Alternatives must be warranted.</w:t>
      </w:r>
      <w:r>
        <w:br/>
      </w:r>
      <w:r>
        <w:t xml:space="preserve">A complete source does not supply them by itself.</w:t>
      </w:r>
    </w:p>
    <w:p>
      <w:pPr>
        <w:pStyle w:val="BodyText"/>
      </w:pPr>
      <w:r>
        <w:t xml:space="preserve">PART I · FROM / LIKE / OTHER</w:t>
      </w:r>
      <w:r>
        <w:t xml:space="preserve">PART II · SIMPLE? / FREE? / SELF-KNOWING?</w:t>
      </w:r>
    </w:p>
    <w:p>
      <w:pPr>
        <w:pStyle w:val="BodyText"/>
      </w:pPr>
      <w:r>
        <w:t xml:space="preserve">00 / WHAT THIS PAGE IS</w:t>
      </w:r>
    </w:p>
    <w:bookmarkStart w:id="21" w:name="a-second-inquiry.-a-different-burden."/>
    <w:p>
      <w:pPr>
        <w:pStyle w:val="Heading2"/>
      </w:pPr>
      <w:r>
        <w:t xml:space="preserve">A second inquiry. A different burden.</w:t>
      </w:r>
    </w:p>
    <w:p>
      <w:pPr>
        <w:pStyle w:val="FirstParagraph"/>
      </w:pPr>
      <w:r>
        <w:t xml:space="preserve">Participation concerns real received possession. This inquiry asks what further arguments would establish a simple, intelligent source whose creative action is genuinely free.</w:t>
      </w:r>
    </w:p>
    <w:bookmarkEnd w:id="21"/>
    <w:p>
      <w:pPr>
        <w:pStyle w:val="BodyText"/>
      </w:pPr>
      <w:r>
        <w:t xml:space="preserve">Conditional starting point</w:t>
      </w:r>
    </w:p>
    <w:p>
      <w:pPr>
        <w:pStyle w:val="BodyText"/>
      </w:pPr>
      <w:r>
        <w:t xml:space="preserve">A creature can possess received actuality 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 realization. That possibility preserves meaningful predication;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 reasons 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 Productive knowledge 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 constitution and rational action; Scotus sharpens live contingency;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p>
      <w:pPr>
        <w:pStyle w:val="FirstParagraph"/>
      </w:pPr>
      <w:r>
        <w:rPr>
          <w:b/>
          <w:bCs/>
        </w:rPr>
        <w:t xml:space="preserve">The stress test.</w:t>
      </w:r>
      <w:r>
        <w:t xml:space="preserve"> </w:t>
      </w:r>
      <w:r>
        <w:t xml:space="preserve">How could a source satisfy the defended simplicity claims and freely cause this creation without constitutive or receptive dependence upon it? The claim that God’s intrinsic actuality is the same across possible created outcomes needs a separate defense.</w:t>
      </w:r>
    </w:p>
    <w:p>
      <w:pPr>
        <w:pStyle w:val="BodyText"/>
      </w:pPr>
      <w:r>
        <w:t xml:space="preserve">Conditional philosophy and constructive development; no claim of source-existence proof, universally accepted model, or ecclesial definition.</w:t>
      </w:r>
    </w:p>
    <w:p>
      <w:pPr>
        <w:pStyle w:val="BodyText"/>
      </w:pPr>
      <w:r>
        <w:t xml:space="preserve">01 / INHERITANCE</w:t>
      </w:r>
    </w:p>
    <w:bookmarkStart w:id="22" w:name="what-part-i-actually-gives-us."/>
    <w:p>
      <w:pPr>
        <w:pStyle w:val="Heading2"/>
      </w:pPr>
      <w:r>
        <w:t xml:space="preserve">What Part I actually gives us.</w:t>
      </w:r>
    </w:p>
    <w:p>
      <w:pPr>
        <w:pStyle w:val="FirstParagraph"/>
      </w:pPr>
      <w:r>
        <w:t xml:space="preserve">Inherited results retain their premises. The source’s existence, universality, and positive perfections require arguments beyond the participation model.</w:t>
      </w:r>
    </w:p>
    <w:bookmarkEnd w:id="22"/>
    <w:p>
      <w:pPr>
        <w:pStyle w:val="BodyText"/>
      </w:pPr>
      <w:r>
        <w:t xml:space="preserve">Inherited premises</w:t>
      </w:r>
    </w:p>
    <w:p>
      <w:pPr>
        <w:pStyle w:val="BodyText"/>
      </w:pPr>
      <w:r>
        <w:t xml:space="preserve">G and CP yield present created dependence; Q supplies the qualitative bridge required for causal likeness; U excludes constitutive grounding 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 explanatory completion, an argument about the scope of existential dependence, and a separate uniqueness argument. This page inherits the universal source profile to investigate its implications. It neither proves that ascent nor treats “source” as a definition containing its conclusion.</w:t>
      </w:r>
    </w:p>
    <w:p>
      <w:pPr>
        <w:pStyle w:val="BodyText"/>
      </w:pPr>
      <w:r>
        <w:t xml:space="preserve">X is stronger than noncomposition: the source’s intrinsic actuality 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bookmarkStart w:id="23" w:name="Xde033392ce66e996a9e42e4f369f5f3b5e1c481"/>
    <w:p>
      <w:pPr>
        <w:pStyle w:val="Heading3"/>
      </w:pPr>
      <w:r>
        <w:t xml:space="preserve">Inspect the inherited premises and actual dependencies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Premises</w:t>
            </w:r>
          </w:p>
        </w:tc>
        <w:tc>
          <w:tcPr>
            <w:tcW w:type="dxa" w:w="274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G + CP</w:t>
            </w:r>
          </w:p>
        </w:tc>
        <w:tc>
          <w:tcPr>
            <w:tcW w:type="dxa" w:w="2749"/>
          </w:tcPr>
          <w:p>
            <w:pPr>
              <w:pStyle w:val="BodyText"/>
              <w:keepNext w:val="0"/>
              <w:spacing w:after="80" w:line="252" w:lineRule="auto"/>
              <w:jc w:val="left"/>
            </w:pPr>
            <w:r>
              <w:rPr>
                <w:rFonts w:ascii="Calibri" w:hAnsi="Calibri"/>
                <w:sz w:val="17"/>
              </w:rPr>
              <w:t xml:space="preserve">Present source dependence</w:t>
            </w:r>
          </w:p>
        </w:tc>
        <w:tc>
          <w:tcPr>
            <w:tcW w:type="dxa" w:w="2749"/>
          </w:tcPr>
          <w:p>
            <w:pPr>
              <w:pStyle w:val="BodyText"/>
              <w:keepNext w:val="0"/>
              <w:spacing w:after="80" w:line="252" w:lineRule="auto"/>
              <w:jc w:val="left"/>
            </w:pPr>
            <w:r>
              <w:rPr>
                <w:rFonts w:ascii="Calibri" w:hAnsi="Calibri"/>
                <w:sz w:val="17"/>
              </w:rPr>
              <w:t xml:space="preserve">Inherited premises</w:t>
            </w:r>
          </w:p>
        </w:tc>
        <w:tc>
          <w:tcPr>
            <w:tcW w:type="dxa" w:w="2749"/>
          </w:tcPr>
          <w:p>
            <w:pPr>
              <w:pStyle w:val="BodyText"/>
              <w:keepNext w:val="0"/>
              <w:spacing w:after="80" w:line="252" w:lineRule="auto"/>
              <w:jc w:val="left"/>
            </w:pPr>
            <w:r>
              <w:rPr>
                <w:rFonts w:ascii="Calibri" w:hAnsi="Calibri"/>
                <w:sz w:val="17"/>
              </w:rPr>
              <w:t xml:space="preserve">Universal sourcing and causal dependence are adopted, not proved by “participation.”</w:t>
            </w:r>
          </w:p>
        </w:tc>
      </w:tr>
      <w:tr>
        <w:tc>
          <w:tcPr>
            <w:tcW w:type="dxa" w:w="1689"/>
          </w:tcPr>
          <w:p>
            <w:pPr>
              <w:pStyle w:val="BodyText"/>
              <w:keepNext w:val="0"/>
              <w:spacing w:after="80" w:line="252" w:lineRule="auto"/>
              <w:jc w:val="left"/>
            </w:pPr>
            <w:r>
              <w:rPr>
                <w:rFonts w:ascii="Calibri" w:hAnsi="Calibri"/>
                <w:sz w:val="17"/>
              </w:rPr>
              <w:t xml:space="preserve">Q</w:t>
            </w:r>
          </w:p>
        </w:tc>
        <w:tc>
          <w:tcPr>
            <w:tcW w:type="dxa" w:w="2749"/>
          </w:tcPr>
          <w:p>
            <w:pPr>
              <w:pStyle w:val="BodyText"/>
              <w:keepNext w:val="0"/>
              <w:spacing w:after="80" w:line="252" w:lineRule="auto"/>
              <w:jc w:val="left"/>
            </w:pPr>
            <w:r>
              <w:rPr>
                <w:rFonts w:ascii="Calibri" w:hAnsi="Calibri"/>
                <w:sz w:val="17"/>
              </w:rPr>
              <w:t xml:space="preserve">Positive causal likeness</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Does not turn efficient causation alone into resemblance.</w:t>
            </w:r>
          </w:p>
        </w:tc>
      </w:tr>
      <w:tr>
        <w:tc>
          <w:tcPr>
            <w:tcW w:type="dxa" w:w="1689"/>
          </w:tcPr>
          <w:p>
            <w:pPr>
              <w:pStyle w:val="BodyText"/>
              <w:keepNext w:val="0"/>
              <w:spacing w:after="80" w:line="252" w:lineRule="auto"/>
              <w:jc w:val="left"/>
            </w:pPr>
            <w:r>
              <w:rPr>
                <w:rFonts w:ascii="Calibri" w:hAnsi="Calibri"/>
                <w:sz w:val="17"/>
              </w:rPr>
              <w:t xml:space="preserve">U + KD</w:t>
            </w:r>
          </w:p>
        </w:tc>
        <w:tc>
          <w:tcPr>
            <w:tcW w:type="dxa" w:w="2749"/>
          </w:tcPr>
          <w:p>
            <w:pPr>
              <w:pStyle w:val="BodyText"/>
              <w:keepNext w:val="0"/>
              <w:spacing w:after="80" w:line="252" w:lineRule="auto"/>
              <w:jc w:val="left"/>
            </w:pPr>
            <w:r>
              <w:rPr>
                <w:rFonts w:ascii="Calibri" w:hAnsi="Calibri"/>
                <w:sz w:val="17"/>
              </w:rPr>
              <w:t xml:space="preserve">No proper intrinsic source constituents</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KD’s constitution–dependence principle remains a philosophical burden.</w:t>
            </w:r>
          </w:p>
        </w:tc>
      </w:tr>
      <w:tr>
        <w:tc>
          <w:tcPr>
            <w:tcW w:type="dxa" w:w="1689"/>
          </w:tcPr>
          <w:p>
            <w:pPr>
              <w:pStyle w:val="BodyText"/>
              <w:keepNext w:val="0"/>
              <w:spacing w:after="80" w:line="252" w:lineRule="auto"/>
              <w:jc w:val="left"/>
            </w:pPr>
            <w:r>
              <w:rPr>
                <w:rFonts w:ascii="Calibri" w:hAnsi="Calibri"/>
                <w:sz w:val="17"/>
              </w:rPr>
              <w:t xml:space="preserve">KH + FS + FC</w:t>
            </w:r>
          </w:p>
        </w:tc>
        <w:tc>
          <w:tcPr>
            <w:tcW w:type="dxa" w:w="2749"/>
          </w:tcPr>
          <w:p>
            <w:pPr>
              <w:pStyle w:val="BodyText"/>
              <w:keepNext w:val="0"/>
              <w:spacing w:after="80" w:line="252" w:lineRule="auto"/>
              <w:jc w:val="left"/>
            </w:pPr>
            <w:r>
              <w:rPr>
                <w:rFonts w:ascii="Calibri" w:hAnsi="Calibri"/>
                <w:sz w:val="17"/>
              </w:rPr>
              <w:t xml:space="preserve">Source is no finite creature’s constituent</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Different from merely saying that God has no parts.</w:t>
            </w:r>
          </w:p>
        </w:tc>
      </w:tr>
      <w:tr>
        <w:tc>
          <w:tcPr>
            <w:tcW w:type="dxa" w:w="1689"/>
          </w:tcPr>
          <w:p>
            <w:pPr>
              <w:pStyle w:val="BodyText"/>
              <w:keepNext w:val="0"/>
              <w:spacing w:after="80" w:line="252" w:lineRule="auto"/>
              <w:jc w:val="left"/>
            </w:pPr>
            <w:r>
              <w:rPr>
                <w:rFonts w:ascii="Calibri" w:hAnsi="Calibri"/>
                <w:sz w:val="17"/>
              </w:rPr>
              <w:t xml:space="preserve">FS / FC</w:t>
            </w:r>
          </w:p>
        </w:tc>
        <w:tc>
          <w:tcPr>
            <w:tcW w:type="dxa" w:w="2749"/>
          </w:tcPr>
          <w:p>
            <w:pPr>
              <w:pStyle w:val="BodyText"/>
              <w:keepNext w:val="0"/>
              <w:spacing w:after="80" w:line="252" w:lineRule="auto"/>
              <w:jc w:val="left"/>
            </w:pPr>
            <w:r>
              <w:rPr>
                <w:rFonts w:ascii="Calibri" w:hAnsi="Calibri"/>
                <w:sz w:val="17"/>
              </w:rPr>
              <w:t xml:space="preserve">Unbounded source / bounded created actuality</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Respect e; unlimited intellect requires another argument.</w:t>
            </w:r>
          </w:p>
        </w:tc>
      </w:tr>
      <w:tr>
        <w:tc>
          <w:tcPr>
            <w:tcW w:type="dxa" w:w="1689"/>
          </w:tcPr>
          <w:p>
            <w:pPr>
              <w:pStyle w:val="BodyText"/>
              <w:keepNext w:val="0"/>
              <w:spacing w:after="80" w:line="252" w:lineRule="auto"/>
              <w:jc w:val="left"/>
            </w:pPr>
            <w:r>
              <w:rPr>
                <w:rFonts w:ascii="Calibri" w:hAnsi="Calibri"/>
                <w:sz w:val="17"/>
              </w:rPr>
              <w:t xml:space="preserve">X</w:t>
            </w:r>
          </w:p>
        </w:tc>
        <w:tc>
          <w:tcPr>
            <w:tcW w:type="dxa" w:w="2749"/>
          </w:tcPr>
          <w:p>
            <w:pPr>
              <w:pStyle w:val="BodyText"/>
              <w:keepNext w:val="0"/>
              <w:spacing w:after="80" w:line="252" w:lineRule="auto"/>
              <w:jc w:val="left"/>
            </w:pPr>
            <w:r>
              <w:rPr>
                <w:rFonts w:ascii="Calibri" w:hAnsi="Calibri"/>
                <w:sz w:val="17"/>
              </w:rPr>
              <w:t xml:space="preserve">Same intrinsic actuality across possible outcomes</w:t>
            </w:r>
          </w:p>
        </w:tc>
        <w:tc>
          <w:tcPr>
            <w:tcW w:type="dxa" w:w="2749"/>
          </w:tcPr>
          <w:p>
            <w:pPr>
              <w:pStyle w:val="BodyText"/>
              <w:keepNext w:val="0"/>
              <w:spacing w:after="80" w:line="252" w:lineRule="auto"/>
              <w:jc w:val="left"/>
            </w:pPr>
            <w:r>
              <w:rPr>
                <w:rFonts w:ascii="Calibri" w:hAnsi="Calibri"/>
                <w:sz w:val="17"/>
              </w:rPr>
              <w:t xml:space="preserve">Inherited extension</w:t>
            </w:r>
          </w:p>
        </w:tc>
        <w:tc>
          <w:tcPr>
            <w:tcW w:type="dxa" w:w="2749"/>
          </w:tcPr>
          <w:p>
            <w:pPr>
              <w:pStyle w:val="BodyText"/>
              <w:keepNext w:val="0"/>
              <w:spacing w:after="80" w:line="252" w:lineRule="auto"/>
              <w:jc w:val="left"/>
            </w:pPr>
            <w:r>
              <w:rPr>
                <w:rFonts w:ascii="Calibri" w:hAnsi="Calibri"/>
                <w:sz w:val="17"/>
              </w:rPr>
              <w:t xml:space="preserve">Does not establish those alternatives or explain a particular intention.</w:t>
            </w:r>
          </w:p>
        </w:tc>
      </w:tr>
      <w:tr>
        <w:tc>
          <w:tcPr>
            <w:tcW w:type="dxa" w:w="1689"/>
          </w:tcPr>
          <w:p>
            <w:pPr>
              <w:pStyle w:val="BodyText"/>
              <w:keepNext w:val="0"/>
              <w:spacing w:after="80" w:line="252" w:lineRule="auto"/>
              <w:jc w:val="left"/>
            </w:pPr>
            <w:r>
              <w:rPr>
                <w:rFonts w:ascii="Calibri" w:hAnsi="Calibri"/>
                <w:sz w:val="17"/>
              </w:rPr>
              <w:t xml:space="preserve">V / W</w:t>
            </w:r>
          </w:p>
        </w:tc>
        <w:tc>
          <w:tcPr>
            <w:tcW w:type="dxa" w:w="2749"/>
          </w:tcPr>
          <w:p>
            <w:pPr>
              <w:pStyle w:val="BodyText"/>
              <w:keepNext w:val="0"/>
              <w:spacing w:after="80" w:line="252" w:lineRule="auto"/>
              <w:jc w:val="left"/>
            </w:pPr>
            <w:r>
              <w:rPr>
                <w:rFonts w:ascii="Calibri" w:hAnsi="Calibri"/>
                <w:sz w:val="17"/>
              </w:rPr>
              <w:t xml:space="preserve">No-creation alternatives / intelligent selection</w:t>
            </w:r>
          </w:p>
        </w:tc>
        <w:tc>
          <w:tcPr>
            <w:tcW w:type="dxa" w:w="2749"/>
          </w:tcPr>
          <w:p>
            <w:pPr>
              <w:pStyle w:val="BodyText"/>
              <w:keepNext w:val="0"/>
              <w:spacing w:after="80" w:line="252" w:lineRule="auto"/>
              <w:jc w:val="left"/>
            </w:pPr>
            <w:r>
              <w:rPr>
                <w:rFonts w:ascii="Calibri" w:hAnsi="Calibri"/>
                <w:sz w:val="17"/>
              </w:rPr>
              <w:t xml:space="preserve">Earlier optional extensions</w:t>
            </w:r>
          </w:p>
        </w:tc>
        <w:tc>
          <w:tcPr>
            <w:tcW w:type="dxa" w:w="2749"/>
          </w:tcPr>
          <w:p>
            <w:pPr>
              <w:pStyle w:val="BodyText"/>
              <w:keepNext w:val="0"/>
              <w:spacing w:after="80" w:line="252" w:lineRule="auto"/>
              <w:jc w:val="left"/>
            </w:pPr>
            <w:r>
              <w:rPr>
                <w:rFonts w:ascii="Calibri" w:hAnsi="Calibri"/>
                <w:sz w:val="17"/>
              </w:rPr>
              <w:t xml:space="preserve">They remain added commitments to be analyzed here.</w:t>
            </w:r>
          </w:p>
        </w:tc>
      </w:tr>
    </w:tbl>
    <w:bookmarkEnd w:id="23"/>
    <w:p>
      <w:pPr>
        <w:pStyle w:val="BodyText"/>
      </w:pPr>
      <w:r>
        <w:rPr>
          <w:b/>
          <w:bCs/>
        </w:rPr>
        <w:t xml:space="preserve">An alternate route discovered in the audit.</w:t>
      </w:r>
      <w:r>
        <w:t xml:space="preserve"> </w:t>
      </w:r>
      <w:r>
        <w:t xml:space="preserve">In the sparse domain where every actual other is created, a no-creation world has no proper source constituents. If X preserves the entire constituent profile across all alternatives, noncomposition follows elsewhere too. This does not prove KD for all composites; it shows why deletion must check for retained substitutes.</w:t>
      </w:r>
    </w:p>
    <w:p>
      <w:pPr>
        <w:pStyle w:val="BodyText"/>
      </w:pPr>
      <w:r>
        <w:t xml:space="preserve">02 / SIMPLICITY</w:t>
      </w:r>
    </w:p>
    <w:bookmarkStart w:id="24" w:name="X2e2625d6932b7f6700577eddfcdfd4192b7e536"/>
    <w:p>
      <w:pPr>
        <w:pStyle w:val="Heading2"/>
      </w:pPr>
      <w:r>
        <w:t xml:space="preserve">Simplicity excludes conditioning. It preserves fullness.</w:t>
      </w:r>
    </w:p>
    <w:p>
      <w:pPr>
        <w:pStyle w:val="FirstParagraph"/>
      </w:pPr>
      <w:r>
        <w:t xml:space="preserve">The six accomplishments ask how the source could still receive what makes it actual, one, existent, determinate, or perfect. Their arguments must identify the dependence rather than assume it.</w:t>
      </w:r>
    </w:p>
    <w:bookmarkEnd w:id="24"/>
    <w:p>
      <w:pPr>
        <w:pStyle w:val="BodyText"/>
      </w:pPr>
      <w:r>
        <w:t xml:space="preserve">Conditional theorem</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 whole-priority theorist can dispute the direction of grounding; that is the substantive disagreement.</w:t>
      </w:r>
    </w:p>
    <w:p>
      <w:pPr>
        <w:pStyle w:val="BodyText"/>
      </w:pPr>
      <w:r>
        <w:t xml:space="preserve">The six accomplishments extend this audit. Pure actuality examines receptive actualization; non-derivative unity examines unification by prior principles; anti-composition examines constitutive grounding; transcendence of genus examines determination by a wider constitutive kind; essence–existence identity examines received existential actuality; attribute simplicity 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 Underivation excludes that receiving structure. This gives perfection without reception;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r>
        <w:t xml:space="preserve">Plenitude 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p>
      <w:pPr>
        <w:pStyle w:val="SourceCode"/>
      </w:pPr>
      <w:r>
        <w:rPr>
          <w:rStyle w:val="VerbatimChar"/>
        </w:rPr>
        <w:t xml:space="preserve">K(z,g) ⇒ D(g,z,e), by KD.</w:t>
      </w:r>
      <w:r>
        <w:br/>
      </w:r>
      <w:r>
        <w:rPr>
          <w:rStyle w:val="VerbatimChar"/>
        </w:rPr>
        <w:t xml:space="preserve">U(g) ⇒ ¬D(g,z,e).</w:t>
      </w:r>
      <w:r>
        <w:br/>
      </w:r>
      <w:r>
        <w:rPr>
          <w:rStyle w:val="VerbatimChar"/>
        </w:rPr>
        <w:t xml:space="preserve">Therefore ¬∃z K(z,g).</w:t>
      </w:r>
      <w:r>
        <w:br/>
      </w:r>
      <w:r>
        <w:rPr>
          <w:rStyle w:val="VerbatimChar"/>
        </w:rPr>
        <w:t xml:space="preserve">No inference here identifies every real distinction with K.</w:t>
      </w:r>
    </w:p>
    <w:bookmarkStart w:id="25" w:name="X92ed77ae0d9d063dd5ce6fab79ef5078c8d04b8"/>
    <w:p>
      <w:pPr>
        <w:pStyle w:val="Heading3"/>
      </w:pPr>
      <w:r>
        <w:t xml:space="preserve">Examine the stronger simplicity claims one by one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Proposed structure</w:t>
            </w:r>
          </w:p>
        </w:tc>
        <w:tc>
          <w:tcPr>
            <w:tcW w:type="dxa" w:w="2749"/>
            <w:shd w:fill="EAE5DA"/>
          </w:tcPr>
          <w:p>
            <w:pPr>
              <w:pStyle w:val="BodyText"/>
              <w:keepNext w:val="0"/>
              <w:spacing w:after="80" w:line="252" w:lineRule="auto"/>
              <w:jc w:val="left"/>
            </w:pPr>
            <w:r>
              <w:rPr>
                <w:rFonts w:ascii="Calibri" w:hAnsi="Calibri"/>
                <w:b/>
                <w:sz w:val="17"/>
              </w:rPr>
              <w:t xml:space="preserve">Required bridge</w:t>
            </w:r>
          </w:p>
        </w:tc>
        <w:tc>
          <w:tcPr>
            <w:tcW w:type="dxa" w:w="2749"/>
            <w:shd w:fill="EAE5DA"/>
          </w:tcPr>
          <w:p>
            <w:pPr>
              <w:pStyle w:val="BodyText"/>
              <w:keepNext w:val="0"/>
              <w:spacing w:after="80" w:line="252" w:lineRule="auto"/>
              <w:jc w:val="left"/>
            </w:pPr>
            <w:r>
              <w:rPr>
                <w:rFonts w:ascii="Calibri" w:hAnsi="Calibri"/>
                <w:b/>
                <w:sz w:val="17"/>
              </w:rPr>
              <w:t xml:space="preserve">Result / scope</w:t>
            </w:r>
          </w:p>
        </w:tc>
        <w:tc>
          <w:tcPr>
            <w:tcW w:type="dxa" w:w="2749"/>
            <w:shd w:fill="EAE5DA"/>
          </w:tcPr>
          <w:p>
            <w:pPr>
              <w:pStyle w:val="BodyText"/>
              <w:keepNext w:val="0"/>
              <w:spacing w:after="80" w:line="252" w:lineRule="auto"/>
              <w:jc w:val="left"/>
            </w:pPr>
            <w:r>
              <w:rPr>
                <w:rFonts w:ascii="Calibri" w:hAnsi="Calibri"/>
                <w:b/>
                <w:sz w:val="17"/>
              </w:rPr>
              <w:t xml:space="preserve">Remaining distinction</w:t>
            </w:r>
          </w:p>
        </w:tc>
      </w:tr>
      <w:tr>
        <w:tc>
          <w:tcPr>
            <w:tcW w:type="dxa" w:w="1689"/>
          </w:tcPr>
          <w:p>
            <w:pPr>
              <w:pStyle w:val="BodyText"/>
              <w:keepNext w:val="0"/>
              <w:spacing w:after="80" w:line="252" w:lineRule="auto"/>
              <w:jc w:val="left"/>
            </w:pPr>
            <w:r>
              <w:rPr>
                <w:rFonts w:ascii="Calibri" w:hAnsi="Calibri"/>
                <w:sz w:val="17"/>
              </w:rPr>
              <w:t xml:space="preserve">1. Pure actuality</w:t>
            </w:r>
          </w:p>
        </w:tc>
        <w:tc>
          <w:tcPr>
            <w:tcW w:type="dxa" w:w="2749"/>
          </w:tcPr>
          <w:p>
            <w:pPr>
              <w:pStyle w:val="BodyText"/>
              <w:keepNext w:val="0"/>
              <w:spacing w:after="80" w:line="252" w:lineRule="auto"/>
              <w:jc w:val="left"/>
            </w:pPr>
            <w:r>
              <w:rPr>
                <w:rFonts w:ascii="Calibri" w:hAnsi="Calibri"/>
                <w:sz w:val="17"/>
              </w:rPr>
              <w:t xml:space="preserve">Receptive potency requires actuality from an actualizer</w:t>
            </w:r>
          </w:p>
        </w:tc>
        <w:tc>
          <w:tcPr>
            <w:tcW w:type="dxa" w:w="2749"/>
          </w:tcPr>
          <w:p>
            <w:pPr>
              <w:pStyle w:val="BodyText"/>
              <w:keepNext w:val="0"/>
              <w:spacing w:after="80" w:line="252" w:lineRule="auto"/>
              <w:jc w:val="left"/>
            </w:pPr>
            <w:r>
              <w:rPr>
                <w:rFonts w:ascii="Calibri" w:hAnsi="Calibri"/>
                <w:sz w:val="17"/>
              </w:rPr>
              <w:t xml:space="preserve">Excluded where it makes the source actual through what it receives</w:t>
            </w:r>
          </w:p>
        </w:tc>
        <w:tc>
          <w:tcPr>
            <w:tcW w:type="dxa" w:w="2749"/>
          </w:tcPr>
          <w:p>
            <w:pPr>
              <w:pStyle w:val="BodyText"/>
              <w:keepNext w:val="0"/>
              <w:spacing w:after="80" w:line="252" w:lineRule="auto"/>
              <w:jc w:val="left"/>
            </w:pPr>
            <w:r>
              <w:rPr>
                <w:rFonts w:ascii="Calibri" w:hAnsi="Calibri"/>
                <w:sz w:val="17"/>
              </w:rPr>
              <w:t xml:space="preserve">Active power for optional effects is not passive incompleteness.</w:t>
            </w:r>
          </w:p>
        </w:tc>
      </w:tr>
      <w:tr>
        <w:tc>
          <w:tcPr>
            <w:tcW w:type="dxa" w:w="1689"/>
          </w:tcPr>
          <w:p>
            <w:pPr>
              <w:pStyle w:val="BodyText"/>
              <w:keepNext w:val="0"/>
              <w:spacing w:after="80" w:line="252" w:lineRule="auto"/>
              <w:jc w:val="left"/>
            </w:pPr>
            <w:r>
              <w:rPr>
                <w:rFonts w:ascii="Calibri" w:hAnsi="Calibri"/>
                <w:sz w:val="17"/>
              </w:rPr>
              <w:t xml:space="preserve">2. Non-derivative unity</w:t>
            </w:r>
          </w:p>
        </w:tc>
        <w:tc>
          <w:tcPr>
            <w:tcW w:type="dxa" w:w="2749"/>
          </w:tcPr>
          <w:p>
            <w:pPr>
              <w:pStyle w:val="BodyText"/>
              <w:keepNext w:val="0"/>
              <w:spacing w:after="80" w:line="252" w:lineRule="auto"/>
              <w:jc w:val="left"/>
            </w:pPr>
            <w:r>
              <w:rPr>
                <w:rFonts w:ascii="Calibri" w:hAnsi="Calibri"/>
                <w:sz w:val="17"/>
              </w:rPr>
              <w:t xml:space="preserve">Prior principles or their coordination supply the whole’s unity</w:t>
            </w:r>
          </w:p>
        </w:tc>
        <w:tc>
          <w:tcPr>
            <w:tcW w:type="dxa" w:w="2749"/>
          </w:tcPr>
          <w:p>
            <w:pPr>
              <w:pStyle w:val="BodyText"/>
              <w:keepNext w:val="0"/>
              <w:spacing w:after="80" w:line="252" w:lineRule="auto"/>
              <w:jc w:val="left"/>
            </w:pPr>
            <w:r>
              <w:rPr>
                <w:rFonts w:ascii="Calibri" w:hAnsi="Calibri"/>
                <w:sz w:val="17"/>
              </w:rPr>
              <w:t xml:space="preserve">Excluded where the source receives the unity by which it is one</w:t>
            </w:r>
          </w:p>
        </w:tc>
        <w:tc>
          <w:tcPr>
            <w:tcW w:type="dxa" w:w="2749"/>
          </w:tcPr>
          <w:p>
            <w:pPr>
              <w:pStyle w:val="BodyText"/>
              <w:keepNext w:val="0"/>
              <w:spacing w:after="80" w:line="252" w:lineRule="auto"/>
              <w:jc w:val="left"/>
            </w:pPr>
            <w:r>
              <w:rPr>
                <w:rFonts w:ascii="Calibri" w:hAnsi="Calibri"/>
                <w:sz w:val="17"/>
              </w:rPr>
              <w:t xml:space="preserve">Plural descriptions alone do not establish a unifying cause.</w:t>
            </w:r>
          </w:p>
        </w:tc>
      </w:tr>
      <w:tr>
        <w:tc>
          <w:tcPr>
            <w:tcW w:type="dxa" w:w="1689"/>
          </w:tcPr>
          <w:p>
            <w:pPr>
              <w:pStyle w:val="BodyText"/>
              <w:keepNext w:val="0"/>
              <w:spacing w:after="80" w:line="252" w:lineRule="auto"/>
              <w:jc w:val="left"/>
            </w:pPr>
            <w:r>
              <w:rPr>
                <w:rFonts w:ascii="Calibri" w:hAnsi="Calibri"/>
                <w:sz w:val="17"/>
              </w:rPr>
              <w:t xml:space="preserve">3. Anti-composition</w:t>
            </w:r>
          </w:p>
        </w:tc>
        <w:tc>
          <w:tcPr>
            <w:tcW w:type="dxa" w:w="2749"/>
          </w:tcPr>
          <w:p>
            <w:pPr>
              <w:pStyle w:val="BodyText"/>
              <w:keepNext w:val="0"/>
              <w:spacing w:after="80" w:line="252" w:lineRule="auto"/>
              <w:jc w:val="left"/>
            </w:pPr>
            <w:r>
              <w:rPr>
                <w:rFonts w:ascii="Calibri" w:hAnsi="Calibri"/>
                <w:sz w:val="17"/>
              </w:rPr>
              <w:t xml:space="preserve">KD: proper intrinsic constituents ground the whole’s actuality</w:t>
            </w:r>
          </w:p>
        </w:tc>
        <w:tc>
          <w:tcPr>
            <w:tcW w:type="dxa" w:w="2749"/>
          </w:tcPr>
          <w:p>
            <w:pPr>
              <w:pStyle w:val="BodyText"/>
              <w:keepNext w:val="0"/>
              <w:spacing w:after="80" w:line="252" w:lineRule="auto"/>
              <w:jc w:val="left"/>
            </w:pPr>
            <w:r>
              <w:rPr>
                <w:rFonts w:ascii="Calibri" w:hAnsi="Calibri"/>
                <w:sz w:val="17"/>
              </w:rPr>
              <w:t xml:space="preserve">U + KD exclude those constituents</w:t>
            </w:r>
          </w:p>
        </w:tc>
        <w:tc>
          <w:tcPr>
            <w:tcW w:type="dxa" w:w="2749"/>
          </w:tcPr>
          <w:p>
            <w:pPr>
              <w:pStyle w:val="BodyText"/>
              <w:keepNext w:val="0"/>
              <w:spacing w:after="80" w:line="252" w:lineRule="auto"/>
              <w:jc w:val="left"/>
            </w:pPr>
            <w:r>
              <w:rPr>
                <w:rFonts w:ascii="Calibri" w:hAnsi="Calibri"/>
                <w:sz w:val="17"/>
              </w:rPr>
              <w:t xml:space="preserve">Whole-priority and brute-unity rivals challenge this direction of grounding.</w:t>
            </w:r>
          </w:p>
        </w:tc>
      </w:tr>
      <w:tr>
        <w:tc>
          <w:tcPr>
            <w:tcW w:type="dxa" w:w="1689"/>
          </w:tcPr>
          <w:p>
            <w:pPr>
              <w:pStyle w:val="BodyText"/>
              <w:keepNext w:val="0"/>
              <w:spacing w:after="80" w:line="252" w:lineRule="auto"/>
              <w:jc w:val="left"/>
            </w:pPr>
            <w:r>
              <w:rPr>
                <w:rFonts w:ascii="Calibri" w:hAnsi="Calibri"/>
                <w:sz w:val="17"/>
              </w:rPr>
              <w:t xml:space="preserve">4. No constitutive genus</w:t>
            </w:r>
          </w:p>
        </w:tc>
        <w:tc>
          <w:tcPr>
            <w:tcW w:type="dxa" w:w="2749"/>
          </w:tcPr>
          <w:p>
            <w:pPr>
              <w:pStyle w:val="BodyText"/>
              <w:keepNext w:val="0"/>
              <w:spacing w:after="80" w:line="252" w:lineRule="auto"/>
              <w:jc w:val="left"/>
            </w:pPr>
            <w:r>
              <w:rPr>
                <w:rFonts w:ascii="Calibri" w:hAnsi="Calibri"/>
                <w:sz w:val="17"/>
              </w:rPr>
              <w:t xml:space="preserve">A wider natural kind supplies principles determining what its member is</w:t>
            </w:r>
          </w:p>
        </w:tc>
        <w:tc>
          <w:tcPr>
            <w:tcW w:type="dxa" w:w="2749"/>
          </w:tcPr>
          <w:p>
            <w:pPr>
              <w:pStyle w:val="BodyText"/>
              <w:keepNext w:val="0"/>
              <w:spacing w:after="80" w:line="252" w:lineRule="auto"/>
              <w:jc w:val="left"/>
            </w:pPr>
            <w:r>
              <w:rPr>
                <w:rFonts w:ascii="Calibri" w:hAnsi="Calibri"/>
                <w:sz w:val="17"/>
              </w:rPr>
              <w:t xml:space="preserve">Excluded under the defended genus–constitution bridge</w:t>
            </w:r>
          </w:p>
        </w:tc>
        <w:tc>
          <w:tcPr>
            <w:tcW w:type="dxa" w:w="2749"/>
          </w:tcPr>
          <w:p>
            <w:pPr>
              <w:pStyle w:val="BodyText"/>
              <w:keepNext w:val="0"/>
              <w:spacing w:after="80" w:line="252" w:lineRule="auto"/>
              <w:jc w:val="left"/>
            </w:pPr>
            <w:r>
              <w:rPr>
                <w:rFonts w:ascii="Calibri" w:hAnsi="Calibri"/>
                <w:sz w:val="17"/>
              </w:rPr>
              <w:t xml:space="preserve">A shared logical concept is not thereby a common constitutive measure.</w:t>
            </w:r>
          </w:p>
        </w:tc>
      </w:tr>
      <w:tr>
        <w:tc>
          <w:tcPr>
            <w:tcW w:type="dxa" w:w="1689"/>
          </w:tcPr>
          <w:p>
            <w:pPr>
              <w:pStyle w:val="BodyText"/>
              <w:keepNext w:val="0"/>
              <w:spacing w:after="80" w:line="252" w:lineRule="auto"/>
              <w:jc w:val="left"/>
            </w:pPr>
            <w:r>
              <w:rPr>
                <w:rFonts w:ascii="Calibri" w:hAnsi="Calibri"/>
                <w:sz w:val="17"/>
              </w:rPr>
              <w:t xml:space="preserve">5. Essence–existence identity</w:t>
            </w:r>
          </w:p>
        </w:tc>
        <w:tc>
          <w:tcPr>
            <w:tcW w:type="dxa" w:w="2749"/>
          </w:tcPr>
          <w:p>
            <w:pPr>
              <w:pStyle w:val="BodyText"/>
              <w:keepNext w:val="0"/>
              <w:spacing w:after="80" w:line="252" w:lineRule="auto"/>
              <w:jc w:val="left"/>
            </w:pPr>
            <w:r>
              <w:rPr>
                <w:rFonts w:ascii="Calibri" w:hAnsi="Calibri"/>
                <w:sz w:val="17"/>
              </w:rPr>
              <w:t xml:space="preserve">A constituted recipient receives existential actuality from an actualizer</w:t>
            </w:r>
          </w:p>
        </w:tc>
        <w:tc>
          <w:tcPr>
            <w:tcW w:type="dxa" w:w="2749"/>
          </w:tcPr>
          <w:p>
            <w:pPr>
              <w:pStyle w:val="BodyText"/>
              <w:keepNext w:val="0"/>
              <w:spacing w:after="80" w:line="252" w:lineRule="auto"/>
              <w:jc w:val="left"/>
            </w:pPr>
            <w:r>
              <w:rPr>
                <w:rFonts w:ascii="Calibri" w:hAnsi="Calibri"/>
                <w:sz w:val="17"/>
              </w:rPr>
              <w:t xml:space="preserve">No received source existence under that ontology</w:t>
            </w:r>
          </w:p>
        </w:tc>
        <w:tc>
          <w:tcPr>
            <w:tcW w:type="dxa" w:w="2749"/>
          </w:tcPr>
          <w:p>
            <w:pPr>
              <w:pStyle w:val="BodyText"/>
              <w:keepNext w:val="0"/>
              <w:spacing w:after="80" w:line="252" w:lineRule="auto"/>
              <w:jc w:val="left"/>
            </w:pPr>
            <w:r>
              <w:rPr>
                <w:rFonts w:ascii="Calibri" w:hAnsi="Calibri"/>
                <w:sz w:val="17"/>
              </w:rPr>
              <w:t xml:space="preserve">Different concepts alone do not establish a real recipient–actualizer structure.</w:t>
            </w:r>
          </w:p>
        </w:tc>
      </w:tr>
      <w:tr>
        <w:tc>
          <w:tcPr>
            <w:tcW w:type="dxa" w:w="1689"/>
          </w:tcPr>
          <w:p>
            <w:pPr>
              <w:pStyle w:val="BodyText"/>
              <w:keepNext w:val="0"/>
              <w:spacing w:after="80" w:line="252" w:lineRule="auto"/>
              <w:jc w:val="left"/>
            </w:pPr>
            <w:r>
              <w:rPr>
                <w:rFonts w:ascii="Calibri" w:hAnsi="Calibri"/>
                <w:sz w:val="17"/>
              </w:rPr>
              <w:t xml:space="preserve">6. Attribute simplicity</w:t>
            </w:r>
          </w:p>
        </w:tc>
        <w:tc>
          <w:tcPr>
            <w:tcW w:type="dxa" w:w="2749"/>
          </w:tcPr>
          <w:p>
            <w:pPr>
              <w:pStyle w:val="BodyText"/>
              <w:keepNext w:val="0"/>
              <w:spacing w:after="80" w:line="252" w:lineRule="auto"/>
              <w:jc w:val="left"/>
            </w:pPr>
            <w:r>
              <w:rPr>
                <w:rFonts w:ascii="Calibri" w:hAnsi="Calibri"/>
                <w:sz w:val="17"/>
              </w:rPr>
              <w:t xml:space="preserve">Distinct intrinsic perfection-principles actualize or complete a divine subject</w:t>
            </w:r>
          </w:p>
        </w:tc>
        <w:tc>
          <w:tcPr>
            <w:tcW w:type="dxa" w:w="2749"/>
          </w:tcPr>
          <w:p>
            <w:pPr>
              <w:pStyle w:val="BodyText"/>
              <w:keepNext w:val="0"/>
              <w:spacing w:after="80" w:line="252" w:lineRule="auto"/>
              <w:jc w:val="left"/>
            </w:pPr>
            <w:r>
              <w:rPr>
                <w:rFonts w:ascii="Calibri" w:hAnsi="Calibri"/>
                <w:sz w:val="17"/>
              </w:rPr>
              <w:t xml:space="preserve">Excluded where the subject is perfected through them</w:t>
            </w:r>
          </w:p>
        </w:tc>
        <w:tc>
          <w:tcPr>
            <w:tcW w:type="dxa" w:w="2749"/>
          </w:tcPr>
          <w:p>
            <w:pPr>
              <w:pStyle w:val="BodyText"/>
              <w:keepNext w:val="0"/>
              <w:spacing w:after="80" w:line="252" w:lineRule="auto"/>
              <w:jc w:val="left"/>
            </w:pPr>
            <w:r>
              <w:rPr>
                <w:rFonts w:ascii="Calibri" w:hAnsi="Calibri"/>
                <w:sz w:val="17"/>
              </w:rPr>
              <w:t xml:space="preserve">Different meanings can share one realization; nonconstitutive formal distinction needs separate analysis.</w:t>
            </w:r>
          </w:p>
        </w:tc>
      </w:tr>
      <w:tr>
        <w:tc>
          <w:tcPr>
            <w:tcW w:type="dxa" w:w="1689"/>
          </w:tcPr>
          <w:p>
            <w:pPr>
              <w:pStyle w:val="BodyText"/>
              <w:keepNext w:val="0"/>
              <w:spacing w:after="80" w:line="252" w:lineRule="auto"/>
              <w:jc w:val="left"/>
            </w:pPr>
            <w:r>
              <w:rPr>
                <w:rFonts w:ascii="Calibri" w:hAnsi="Calibri"/>
                <w:sz w:val="17"/>
              </w:rPr>
              <w:t xml:space="preserve">Subject / accident</w:t>
            </w:r>
          </w:p>
        </w:tc>
        <w:tc>
          <w:tcPr>
            <w:tcW w:type="dxa" w:w="2749"/>
          </w:tcPr>
          <w:p>
            <w:pPr>
              <w:pStyle w:val="BodyText"/>
              <w:keepNext w:val="0"/>
              <w:spacing w:after="80" w:line="252" w:lineRule="auto"/>
              <w:jc w:val="left"/>
            </w:pPr>
            <w:r>
              <w:rPr>
                <w:rFonts w:ascii="Calibri" w:hAnsi="Calibri"/>
                <w:sz w:val="17"/>
              </w:rPr>
              <w:t xml:space="preserve">Accidental actuality depends on a subject and an acquired actualization</w:t>
            </w:r>
          </w:p>
        </w:tc>
        <w:tc>
          <w:tcPr>
            <w:tcW w:type="dxa" w:w="2749"/>
          </w:tcPr>
          <w:p>
            <w:pPr>
              <w:pStyle w:val="BodyText"/>
              <w:keepNext w:val="0"/>
              <w:spacing w:after="80" w:line="252" w:lineRule="auto"/>
              <w:jc w:val="left"/>
            </w:pPr>
            <w:r>
              <w:rPr>
                <w:rFonts w:ascii="Calibri" w:hAnsi="Calibri"/>
                <w:sz w:val="17"/>
              </w:rPr>
              <w:t xml:space="preserve">Excluded where it introduces the relevant receptive dependence</w:t>
            </w:r>
          </w:p>
        </w:tc>
        <w:tc>
          <w:tcPr>
            <w:tcW w:type="dxa" w:w="2749"/>
          </w:tcPr>
          <w:p>
            <w:pPr>
              <w:pStyle w:val="BodyText"/>
              <w:keepNext w:val="0"/>
              <w:spacing w:after="80" w:line="252" w:lineRule="auto"/>
              <w:jc w:val="left"/>
            </w:pPr>
            <w:r>
              <w:rPr>
                <w:rFonts w:ascii="Calibri" w:hAnsi="Calibri"/>
                <w:sz w:val="17"/>
              </w:rPr>
              <w:t xml:space="preserve">An external predication is not thereby an intrinsic accident.</w:t>
            </w:r>
          </w:p>
        </w:tc>
      </w:tr>
      <w:tr>
        <w:tc>
          <w:tcPr>
            <w:tcW w:type="dxa" w:w="1689"/>
          </w:tcPr>
          <w:p>
            <w:pPr>
              <w:pStyle w:val="BodyText"/>
              <w:keepNext w:val="0"/>
              <w:spacing w:after="80" w:line="252" w:lineRule="auto"/>
              <w:jc w:val="left"/>
            </w:pPr>
            <w:r>
              <w:rPr>
                <w:rFonts w:ascii="Calibri" w:hAnsi="Calibri"/>
                <w:sz w:val="17"/>
              </w:rPr>
              <w:t xml:space="preserve">Personal origin</w:t>
            </w:r>
          </w:p>
        </w:tc>
        <w:tc>
          <w:tcPr>
            <w:tcW w:type="dxa" w:w="2749"/>
          </w:tcPr>
          <w:p>
            <w:pPr>
              <w:pStyle w:val="BodyText"/>
              <w:keepNext w:val="0"/>
              <w:spacing w:after="80" w:line="252" w:lineRule="auto"/>
              <w:jc w:val="left"/>
            </w:pPr>
            <w:r>
              <w:rPr>
                <w:rFonts w:ascii="Calibri" w:hAnsi="Calibri"/>
                <w:sz w:val="17"/>
              </w:rPr>
              <w:t xml:space="preserve">Real opposition of origin without division of divine essence</w:t>
            </w:r>
          </w:p>
        </w:tc>
        <w:tc>
          <w:tcPr>
            <w:tcW w:type="dxa" w:w="2749"/>
          </w:tcPr>
          <w:p>
            <w:pPr>
              <w:pStyle w:val="BodyText"/>
              <w:keepNext w:val="0"/>
              <w:spacing w:after="80" w:line="252" w:lineRule="auto"/>
              <w:jc w:val="left"/>
            </w:pPr>
            <w:r>
              <w:rPr>
                <w:rFonts w:ascii="Calibri" w:hAnsi="Calibri"/>
                <w:sz w:val="17"/>
              </w:rPr>
              <w:t xml:space="preserve">Theological distinction, not derived from natural simplicity</w:t>
            </w:r>
          </w:p>
        </w:tc>
        <w:tc>
          <w:tcPr>
            <w:tcW w:type="dxa" w:w="2749"/>
          </w:tcPr>
          <w:p>
            <w:pPr>
              <w:pStyle w:val="BodyText"/>
              <w:keepNext w:val="0"/>
              <w:spacing w:after="80" w:line="252" w:lineRule="auto"/>
              <w:jc w:val="left"/>
            </w:pPr>
            <w:r>
              <w:rPr>
                <w:rFonts w:ascii="Calibri" w:hAnsi="Calibri"/>
                <w:sz w:val="17"/>
              </w:rPr>
              <w:t xml:space="preserve">Unreceived deity does not make Son and Spirit personally unoriginated.</w:t>
            </w:r>
          </w:p>
        </w:tc>
      </w:tr>
      <w:tr>
        <w:tc>
          <w:tcPr>
            <w:tcW w:type="dxa" w:w="1689"/>
          </w:tcPr>
          <w:p>
            <w:pPr>
              <w:pStyle w:val="BodyText"/>
              <w:keepNext w:val="0"/>
              <w:spacing w:after="80" w:line="252" w:lineRule="auto"/>
              <w:jc w:val="left"/>
            </w:pPr>
            <w:r>
              <w:rPr>
                <w:rFonts w:ascii="Calibri" w:hAnsi="Calibri"/>
                <w:sz w:val="17"/>
              </w:rPr>
              <w:t xml:space="preserve">Formalities / energies</w:t>
            </w:r>
          </w:p>
        </w:tc>
        <w:tc>
          <w:tcPr>
            <w:tcW w:type="dxa" w:w="2749"/>
          </w:tcPr>
          <w:p>
            <w:pPr>
              <w:pStyle w:val="BodyText"/>
              <w:keepNext w:val="0"/>
              <w:spacing w:after="80" w:line="252" w:lineRule="auto"/>
              <w:jc w:val="left"/>
            </w:pPr>
            <w:r>
              <w:rPr>
                <w:rFonts w:ascii="Calibri" w:hAnsi="Calibri"/>
                <w:sz w:val="17"/>
              </w:rPr>
              <w:t xml:space="preserve">Do the proposed distinctions actually constitute or actualize the source?</w:t>
            </w:r>
          </w:p>
        </w:tc>
        <w:tc>
          <w:tcPr>
            <w:tcW w:type="dxa" w:w="2749"/>
          </w:tcPr>
          <w:p>
            <w:pPr>
              <w:pStyle w:val="BodyText"/>
              <w:keepNext w:val="0"/>
              <w:spacing w:after="80" w:line="252" w:lineRule="auto"/>
              <w:jc w:val="left"/>
            </w:pPr>
            <w:r>
              <w:rPr>
                <w:rFonts w:ascii="Calibri" w:hAnsi="Calibri"/>
                <w:sz w:val="17"/>
              </w:rPr>
              <w:t xml:space="preserve">Case-specific; not automatically excluded</w:t>
            </w:r>
          </w:p>
        </w:tc>
        <w:tc>
          <w:tcPr>
            <w:tcW w:type="dxa" w:w="2749"/>
          </w:tcPr>
          <w:p>
            <w:pPr>
              <w:pStyle w:val="BodyText"/>
              <w:keepNext w:val="0"/>
              <w:spacing w:after="80" w:line="252" w:lineRule="auto"/>
              <w:jc w:val="left"/>
            </w:pPr>
            <w:r>
              <w:rPr>
                <w:rFonts w:ascii="Calibri" w:hAnsi="Calibri"/>
                <w:sz w:val="17"/>
              </w:rPr>
              <w:t xml:space="preserve">Scotist formalities and Palamite energies are not interchangeable accounts.</w:t>
            </w:r>
          </w:p>
        </w:tc>
      </w:tr>
      <w:tr>
        <w:tc>
          <w:tcPr>
            <w:tcW w:type="dxa" w:w="1689"/>
          </w:tcPr>
          <w:p>
            <w:pPr>
              <w:pStyle w:val="BodyText"/>
              <w:keepNext w:val="0"/>
              <w:spacing w:after="80" w:line="252" w:lineRule="auto"/>
              <w:jc w:val="left"/>
            </w:pPr>
            <w:r>
              <w:rPr>
                <w:rFonts w:ascii="Calibri" w:hAnsi="Calibri"/>
                <w:sz w:val="17"/>
              </w:rPr>
              <w:t xml:space="preserve">Intrinsic intention across worlds</w:t>
            </w:r>
          </w:p>
        </w:tc>
        <w:tc>
          <w:tcPr>
            <w:tcW w:type="dxa" w:w="2749"/>
          </w:tcPr>
          <w:p>
            <w:pPr>
              <w:pStyle w:val="BodyText"/>
              <w:keepNext w:val="0"/>
              <w:spacing w:after="80" w:line="252" w:lineRule="auto"/>
              <w:jc w:val="left"/>
            </w:pPr>
            <w:r>
              <w:rPr>
                <w:rFonts w:ascii="Calibri" w:hAnsi="Calibri"/>
                <w:sz w:val="17"/>
              </w:rPr>
              <w:t xml:space="preserve">A different intrinsic intentional profile in another possible world</w:t>
            </w:r>
          </w:p>
        </w:tc>
        <w:tc>
          <w:tcPr>
            <w:tcW w:type="dxa" w:w="2749"/>
          </w:tcPr>
          <w:p>
            <w:pPr>
              <w:pStyle w:val="BodyText"/>
              <w:keepNext w:val="0"/>
              <w:spacing w:after="80" w:line="252" w:lineRule="auto"/>
              <w:jc w:val="left"/>
            </w:pPr>
            <w:r>
              <w:rPr>
                <w:rFonts w:ascii="Calibri" w:hAnsi="Calibri"/>
                <w:sz w:val="17"/>
              </w:rPr>
              <w:t xml:space="preserve">Not excluded by noncomposition alone</w:t>
            </w:r>
          </w:p>
        </w:tc>
        <w:tc>
          <w:tcPr>
            <w:tcW w:type="dxa" w:w="2749"/>
          </w:tcPr>
          <w:p>
            <w:pPr>
              <w:pStyle w:val="BodyText"/>
              <w:keepNext w:val="0"/>
              <w:spacing w:after="80" w:line="252" w:lineRule="auto"/>
              <w:jc w:val="left"/>
            </w:pPr>
            <w:r>
              <w:rPr>
                <w:rFonts w:ascii="Calibri" w:hAnsi="Calibri"/>
                <w:sz w:val="17"/>
              </w:rPr>
              <w:t xml:space="preserve">X supplies the stronger commitment; temporal acquisition is another question.</w:t>
            </w:r>
          </w:p>
        </w:tc>
      </w:tr>
    </w:tbl>
    <w:bookmarkEnd w:id="25"/>
    <w:p>
      <w:pPr>
        <w:pStyle w:val="BodyText"/>
      </w:pPr>
      <w:r>
        <w:t xml:space="preserve">03 / CONTINGENCY</w:t>
      </w:r>
    </w:p>
    <w:bookmarkStart w:id="26" w:name="X2d1a8dfacf732792c19313726f8a4e01691d033"/>
    <w:p>
      <w:pPr>
        <w:pStyle w:val="Heading2"/>
      </w:pPr>
      <w:r>
        <w:t xml:space="preserve">A gift can be complete without being compulsory.</w:t>
      </w:r>
    </w:p>
    <w:p>
      <w:pPr>
        <w:pStyle w:val="FirstParagraph"/>
      </w:pPr>
      <w:r>
        <w:t xml:space="preserve">Non-exhaustion removes a claim of adequacy: no finite world expresses the whole source. A further modal argument must establish that creation could genuinely have been otherwise.</w:t>
      </w:r>
    </w:p>
    <w:bookmarkEnd w:id="26"/>
    <w:p>
      <w:pPr>
        <w:pStyle w:val="BodyText"/>
      </w:pPr>
      <w:r>
        <w:t xml:space="preserve">Additional modal premise</w:t>
      </w:r>
    </w:p>
    <w:p>
      <w:pPr>
        <w:pStyle w:val="BodyText"/>
      </w:pPr>
      <w:r>
        <w:t xml:space="preserve">The necessary emanator is a decisive countermodel.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 warrant 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 Synchronic contingency 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Start w:id="27" w:name="X2c565368dbe88e7ce17c7f492b422970076b925"/>
    <w:p>
      <w:pPr>
        <w:pStyle w:val="Heading3"/>
      </w:pPr>
      <w:r>
        <w:t xml:space="preserve">An inexhaustible source; a necessary cosmos</w:t>
      </w:r>
    </w:p>
    <w:p>
      <w:pPr>
        <w:pStyle w:val="FirstParagraph"/>
      </w:pPr>
      <w:r>
        <w:t xml:space="preserve">g → A</w:t>
      </w:r>
      <w:r>
        <w:t xml:space="preserve">g → A</w:t>
      </w:r>
      <w:r>
        <w:t xml:space="preserve">g → A</w:t>
      </w:r>
    </w:p>
    <w:p>
      <w:pPr>
        <w:pStyle w:val="BodyText"/>
      </w:pPr>
      <w:r>
        <w:t xml:space="preserve">Every admitted situation contains A. The source stays unbounded and noncomposite; A is finite and source-dependent. Non-exhaustion holds, but A has no accessible absence. This checked sparse interpretation satisfies the original nine clauses.</w:t>
      </w:r>
    </w:p>
    <w:bookmarkEnd w:id="27"/>
    <w:p>
      <w:pPr>
        <w:pStyle w:val="BodyText"/>
      </w:pPr>
      <w:r>
        <w:t xml:space="preserve">04 / AGENCY</w:t>
      </w:r>
    </w:p>
    <w:bookmarkStart w:id="28" w:name="alternatives-reasons-choice-execution."/>
    <w:p>
      <w:pPr>
        <w:pStyle w:val="Heading2"/>
      </w:pPr>
      <w:r>
        <w:t xml:space="preserve">Alternatives, reasons, choice, execution.</w:t>
      </w:r>
    </w:p>
    <w:p>
      <w:pPr>
        <w:pStyle w:val="FirstParagraph"/>
      </w:pPr>
      <w:r>
        <w:t xml:space="preserve">A complete account must explain what is possible, why an option is fitting, who chooses it, and why the intended result actually occurs.</w:t>
      </w:r>
    </w:p>
    <w:bookmarkEnd w:id="28"/>
    <w:p>
      <w:pPr>
        <w:pStyle w:val="BodyText"/>
      </w:pPr>
      <w:r>
        <w:t xml:space="preserve">Constructive extension</w:t>
      </w:r>
    </w:p>
    <w:p>
      <w:pPr>
        <w:pStyle w:val="BodyText"/>
      </w:pPr>
      <w:r>
        <w:t xml:space="preserve">Possibility concerns admissible alternatives. Reasons concern the goods apprehended in them. Choice concerns the agent’s actual intentional exercise toward one. Efficacy 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 necessitation 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 causal adequacy for them. It does not by itself exclude a noncognitive source with primitive powers to produce cognition. The stronger argument treats achieved understanding, apart from the receptive passage of learning, as a pure perfection;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Start w:id="29" w:name="what-the-account-of-agency-adds"/>
    <w:p>
      <w:pPr>
        <w:pStyle w:val="Heading3"/>
      </w:pPr>
      <w:r>
        <w:t xml:space="preserve">What the account of agency adds</w:t>
      </w:r>
    </w:p>
    <w:p>
      <w:pPr>
        <w:pStyle w:val="FirstParagraph"/>
      </w:pPr>
      <w:r>
        <w:t xml:space="preserve">Alternatives establish what can occur; reasons explain why an outcome is fitting; voluntary direction makes the action the agent’s doing; efficacy explains its success. Reasons can make several actions rational without uniquely necessitating one. The proposed explanation therefore terminates in actual reason-guided agency, rather than inserting another act of choosing that would repeat the same question. Applying this account to God requires a defense of intellect and control, and of intentional direction without different intrinsic actuality.</w:t>
      </w:r>
    </w:p>
    <w:bookmarkEnd w:id="29"/>
    <w:p>
      <w:pPr>
        <w:pStyle w:val="BodyText"/>
      </w:pPr>
      <w:r>
        <w:t xml:space="preserve">05 / SPECIFICATION</w:t>
      </w:r>
    </w:p>
    <w:bookmarkStart w:id="30" w:name="Xd82565e653ea35812172f59acf7bbc88b824273"/>
    <w:p>
      <w:pPr>
        <w:pStyle w:val="Heading2"/>
      </w:pPr>
      <w:r>
        <w:t xml:space="preserve">The difference belongs to an intended action.</w:t>
      </w:r>
    </w:p>
    <w:p>
      <w:pPr>
        <w:pStyle w:val="FirstParagraph"/>
      </w:pPr>
      <w:r>
        <w:t xml:space="preserve">The agent’s action must explain its direction toward this world. Reading an intention backward from the finished effect would leave authorship unexplained.</w:t>
      </w:r>
    </w:p>
    <w:bookmarkEnd w:id="30"/>
    <w:p>
      <w:pPr>
        <w:pStyle w:val="BodyText"/>
      </w:pPr>
      <w:r>
        <w:t xml:space="preserve">Candidate compatibility model</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 “the source wills A” true is its actual intelligent exercise toward A. The choice originates with the agent; A is the produced effect, not a prior actualizer of the choosing. Truthmaking 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 “extrinsic” would evade this burden.</w:t>
      </w:r>
    </w:p>
    <w:p>
      <w:pPr>
        <w:pStyle w:val="BodyText"/>
      </w:pPr>
      <w:r>
        <w:t xml:space="preserve">Deliberate noncreation tests the account sharply. There would be no actual created effect to supply an external label. The source would retain its understood possibilities and active power while freely refraining from outward exercise. A successful relational theory must explain that agency too, without inventing an independent action-object between God and creatures.</w:t>
      </w:r>
    </w:p>
    <w:p>
      <w:pPr>
        <w:pStyle w:val="SourceCode"/>
      </w:pPr>
      <w:r>
        <w:rPr>
          <w:rStyle w:val="VerbatimChar"/>
        </w:rPr>
        <w:t xml:space="preserve">Possible plan p ≠ an actual independent Form.</w:t>
      </w:r>
      <w:r>
        <w:br/>
      </w:r>
      <w:r>
        <w:rPr>
          <w:rStyle w:val="VerbatimChar"/>
        </w:rPr>
        <w:t xml:space="preserve">Exercise(g,e,p) ∧ Control(g,e) → controlled action directed to p.</w:t>
      </w:r>
      <w:r>
        <w:br/>
      </w:r>
      <w:r>
        <w:rPr>
          <w:rStyle w:val="VerbatimChar"/>
        </w:rPr>
        <w:t xml:space="preserve">Effectiveness(e,p,x) → actual created effect x.</w:t>
      </w:r>
      <w:r>
        <w:br/>
      </w:r>
      <w:r>
        <w:rPr>
          <w:rStyle w:val="VerbatimChar"/>
        </w:rPr>
        <w:t xml:space="preserve">The action realizes p; naming its effect does not explain the choice.</w:t>
      </w:r>
      <w:r>
        <w:br/>
      </w:r>
      <w:r>
        <w:rPr>
          <w:rStyle w:val="VerbatimChar"/>
        </w:rPr>
        <w:t xml:space="preserve">X additionally requires this action’s intentional direction to add no intrinsic source difference.</w:t>
      </w:r>
    </w:p>
    <w:bookmarkStart w:id="31" w:name="compare-the-rival-explanations"/>
    <w:p>
      <w:pPr>
        <w:pStyle w:val="Heading3"/>
      </w:pPr>
      <w:r>
        <w:t xml:space="preserve">Compare the rival explanations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Account</w:t>
            </w:r>
          </w:p>
        </w:tc>
        <w:tc>
          <w:tcPr>
            <w:tcW w:type="dxa" w:w="3312"/>
            <w:shd w:fill="EAE5DA"/>
          </w:tcPr>
          <w:p>
            <w:pPr>
              <w:pStyle w:val="BodyText"/>
              <w:keepNext w:val="0"/>
              <w:spacing w:after="80" w:line="252" w:lineRule="auto"/>
              <w:jc w:val="left"/>
            </w:pPr>
            <w:r>
              <w:rPr>
                <w:rFonts w:ascii="Calibri" w:hAnsi="Calibri"/>
                <w:b/>
                <w:sz w:val="17"/>
              </w:rPr>
              <w:t xml:space="preserve">What it offers</w:t>
            </w:r>
          </w:p>
        </w:tc>
        <w:tc>
          <w:tcPr>
            <w:tcW w:type="dxa" w:w="3312"/>
            <w:shd w:fill="EAE5DA"/>
          </w:tcPr>
          <w:p>
            <w:pPr>
              <w:pStyle w:val="BodyText"/>
              <w:keepNext w:val="0"/>
              <w:spacing w:after="80" w:line="252" w:lineRule="auto"/>
              <w:jc w:val="left"/>
            </w:pPr>
            <w:r>
              <w:rPr>
                <w:rFonts w:ascii="Calibri" w:hAnsi="Calibri"/>
                <w:b/>
                <w:sz w:val="17"/>
              </w:rPr>
              <w:t xml:space="preserve">What remains</w:t>
            </w:r>
          </w:p>
        </w:tc>
      </w:tr>
      <w:tr>
        <w:tc>
          <w:tcPr>
            <w:tcW w:type="dxa" w:w="3312"/>
          </w:tcPr>
          <w:p>
            <w:pPr>
              <w:pStyle w:val="BodyText"/>
              <w:keepNext w:val="0"/>
              <w:spacing w:after="80" w:line="252" w:lineRule="auto"/>
              <w:jc w:val="left"/>
            </w:pPr>
            <w:r>
              <w:rPr>
                <w:rFonts w:ascii="Calibri" w:hAnsi="Calibri"/>
                <w:sz w:val="17"/>
              </w:rPr>
              <w:t xml:space="preserve">Intrinsic intentional variation</w:t>
            </w:r>
          </w:p>
        </w:tc>
        <w:tc>
          <w:tcPr>
            <w:tcW w:type="dxa" w:w="3312"/>
          </w:tcPr>
          <w:p>
            <w:pPr>
              <w:pStyle w:val="BodyText"/>
              <w:keepNext w:val="0"/>
              <w:spacing w:after="80" w:line="252" w:lineRule="auto"/>
              <w:jc w:val="left"/>
            </w:pPr>
            <w:r>
              <w:rPr>
                <w:rFonts w:ascii="Calibri" w:hAnsi="Calibri"/>
                <w:sz w:val="17"/>
              </w:rPr>
              <w:t xml:space="preserve">Concrete source-side difference without necessarily adding parts</w:t>
            </w:r>
          </w:p>
        </w:tc>
        <w:tc>
          <w:tcPr>
            <w:tcW w:type="dxa" w:w="3312"/>
          </w:tcPr>
          <w:p>
            <w:pPr>
              <w:pStyle w:val="BodyText"/>
              <w:keepNext w:val="0"/>
              <w:spacing w:after="80" w:line="252" w:lineRule="auto"/>
              <w:jc w:val="left"/>
            </w:pPr>
            <w:r>
              <w:rPr>
                <w:rFonts w:ascii="Calibri" w:hAnsi="Calibri"/>
                <w:sz w:val="17"/>
              </w:rPr>
              <w:t xml:space="preserve">Must justify its relation to stronger simplicity; abandons or revises X.</w:t>
            </w:r>
          </w:p>
        </w:tc>
      </w:tr>
      <w:tr>
        <w:tc>
          <w:tcPr>
            <w:tcW w:type="dxa" w:w="3312"/>
          </w:tcPr>
          <w:p>
            <w:pPr>
              <w:pStyle w:val="BodyText"/>
              <w:keepNext w:val="0"/>
              <w:spacing w:after="80" w:line="252" w:lineRule="auto"/>
              <w:jc w:val="left"/>
            </w:pPr>
            <w:r>
              <w:rPr>
                <w:rFonts w:ascii="Calibri" w:hAnsi="Calibri"/>
                <w:sz w:val="17"/>
              </w:rPr>
              <w:t xml:space="preserve">Extrinsic denomination</w:t>
            </w:r>
          </w:p>
        </w:tc>
        <w:tc>
          <w:tcPr>
            <w:tcW w:type="dxa" w:w="3312"/>
          </w:tcPr>
          <w:p>
            <w:pPr>
              <w:pStyle w:val="BodyText"/>
              <w:keepNext w:val="0"/>
              <w:spacing w:after="80" w:line="252" w:lineRule="auto"/>
              <w:jc w:val="left"/>
            </w:pPr>
            <w:r>
              <w:rPr>
                <w:rFonts w:ascii="Calibri" w:hAnsi="Calibri"/>
                <w:sz w:val="17"/>
              </w:rPr>
              <w:t xml:space="preserve">Correct effect-relative predication</w:t>
            </w:r>
          </w:p>
        </w:tc>
        <w:tc>
          <w:tcPr>
            <w:tcW w:type="dxa" w:w="3312"/>
          </w:tcPr>
          <w:p>
            <w:pPr>
              <w:pStyle w:val="BodyText"/>
              <w:keepNext w:val="0"/>
              <w:spacing w:after="80" w:line="252" w:lineRule="auto"/>
              <w:jc w:val="left"/>
            </w:pPr>
            <w:r>
              <w:rPr>
                <w:rFonts w:ascii="Calibri" w:hAnsi="Calibri"/>
                <w:sz w:val="17"/>
              </w:rPr>
              <w:t xml:space="preserve">May describe the outcome without locating positive intentional control.</w:t>
            </w:r>
          </w:p>
        </w:tc>
      </w:tr>
      <w:tr>
        <w:tc>
          <w:tcPr>
            <w:tcW w:type="dxa" w:w="3312"/>
          </w:tcPr>
          <w:p>
            <w:pPr>
              <w:pStyle w:val="BodyText"/>
              <w:keepNext w:val="0"/>
              <w:spacing w:after="80" w:line="252" w:lineRule="auto"/>
              <w:jc w:val="left"/>
            </w:pPr>
            <w:r>
              <w:rPr>
                <w:rFonts w:ascii="Calibri" w:hAnsi="Calibri"/>
                <w:sz w:val="17"/>
              </w:rPr>
              <w:t xml:space="preserve">Action as a real relation</w:t>
            </w:r>
          </w:p>
        </w:tc>
        <w:tc>
          <w:tcPr>
            <w:tcW w:type="dxa" w:w="3312"/>
          </w:tcPr>
          <w:p>
            <w:pPr>
              <w:pStyle w:val="BodyText"/>
              <w:keepNext w:val="0"/>
              <w:spacing w:after="80" w:line="252" w:lineRule="auto"/>
              <w:jc w:val="left"/>
            </w:pPr>
            <w:r>
              <w:rPr>
                <w:rFonts w:ascii="Calibri" w:hAnsi="Calibri"/>
                <w:sz w:val="17"/>
              </w:rPr>
              <w:t xml:space="preserve">A controlled action directed toward an understood plan</w:t>
            </w:r>
          </w:p>
        </w:tc>
        <w:tc>
          <w:tcPr>
            <w:tcW w:type="dxa" w:w="3312"/>
          </w:tcPr>
          <w:p>
            <w:pPr>
              <w:pStyle w:val="BodyText"/>
              <w:keepNext w:val="0"/>
              <w:spacing w:after="80" w:line="252" w:lineRule="auto"/>
              <w:jc w:val="left"/>
            </w:pPr>
            <w:r>
              <w:rPr>
                <w:rFonts w:ascii="Calibri" w:hAnsi="Calibri"/>
                <w:sz w:val="17"/>
              </w:rPr>
              <w:t xml:space="preserve">Needs an argument that the action introduces neither an independent third reality nor an acquired divine constituent.</w:t>
            </w:r>
          </w:p>
        </w:tc>
      </w:tr>
      <w:tr>
        <w:tc>
          <w:tcPr>
            <w:tcW w:type="dxa" w:w="3312"/>
          </w:tcPr>
          <w:p>
            <w:pPr>
              <w:pStyle w:val="BodyText"/>
              <w:keepNext w:val="0"/>
              <w:spacing w:after="80" w:line="252" w:lineRule="auto"/>
              <w:jc w:val="left"/>
            </w:pPr>
            <w:r>
              <w:rPr>
                <w:rFonts w:ascii="Calibri" w:hAnsi="Calibri"/>
                <w:sz w:val="17"/>
              </w:rPr>
              <w:t xml:space="preserve">Necessary source action / contingent outcome</w:t>
            </w:r>
          </w:p>
        </w:tc>
        <w:tc>
          <w:tcPr>
            <w:tcW w:type="dxa" w:w="3312"/>
          </w:tcPr>
          <w:p>
            <w:pPr>
              <w:pStyle w:val="BodyText"/>
              <w:keepNext w:val="0"/>
              <w:spacing w:after="80" w:line="252" w:lineRule="auto"/>
              <w:jc w:val="left"/>
            </w:pPr>
            <w:r>
              <w:rPr>
                <w:rFonts w:ascii="Calibri" w:hAnsi="Calibri"/>
                <w:sz w:val="17"/>
              </w:rPr>
              <w:t xml:space="preserve">Same source action with different results</w:t>
            </w:r>
          </w:p>
        </w:tc>
        <w:tc>
          <w:tcPr>
            <w:tcW w:type="dxa" w:w="3312"/>
          </w:tcPr>
          <w:p>
            <w:pPr>
              <w:pStyle w:val="BodyText"/>
              <w:keepNext w:val="0"/>
              <w:spacing w:after="80" w:line="252" w:lineRule="auto"/>
              <w:jc w:val="left"/>
            </w:pPr>
            <w:r>
              <w:rPr>
                <w:rFonts w:ascii="Calibri" w:hAnsi="Calibri"/>
                <w:sz w:val="17"/>
              </w:rPr>
              <w:t xml:space="preserve">Must distinguish intelligent control from spontaneous output and address effectiveness.</w:t>
            </w:r>
          </w:p>
        </w:tc>
      </w:tr>
    </w:tbl>
    <w:bookmarkEnd w:id="31"/>
    <w:p>
      <w:pPr>
        <w:pStyle w:val="BodyText"/>
      </w:pPr>
      <w:r>
        <w:t xml:space="preserve">06 / KNOWLEDGE</w:t>
      </w:r>
    </w:p>
    <w:bookmarkStart w:id="32" w:name="X898b7e1a6e799c8f0b6e894fabc56b759df944d"/>
    <w:p>
      <w:pPr>
        <w:pStyle w:val="Heading2"/>
      </w:pPr>
      <w:r>
        <w:t xml:space="preserve">Knowledge through actual intelligent action.</w:t>
      </w:r>
    </w:p>
    <w:p>
      <w:pPr>
        <w:pStyle w:val="FirstParagraph"/>
      </w:pPr>
      <w:r>
        <w:t xml:space="preserve">The source can know an effect through its own efficacious intention if it knows that actual intention and its efficacy. Knowing a power or every possible plan is insufficient.</w:t>
      </w:r>
    </w:p>
    <w:bookmarkEnd w:id="32"/>
    <w:p>
      <w:pPr>
        <w:pStyle w:val="BodyText"/>
      </w:pPr>
      <w:r>
        <w:t xml:space="preserve">Independent epistemic proposal</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 disclosure 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 logoi 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 factivity 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p>
      <w:pPr>
        <w:pStyle w:val="SourceCode"/>
      </w:pPr>
      <w:r>
        <w:rPr>
          <w:rStyle w:val="VerbatimChar"/>
        </w:rPr>
        <w:t xml:space="preserve">Access(g,e,p) ∧ CausalAccess(g,e,x) ∧ EpistemicWarrant(g,e)</w:t>
      </w:r>
      <w:r>
        <w:br/>
      </w:r>
      <w:r>
        <w:rPr>
          <w:rStyle w:val="VerbatimChar"/>
        </w:rPr>
        <w:t xml:space="preserve">⇒ knows(g, x as the actual effect of e).</w:t>
      </w:r>
      <w:r>
        <w:br/>
      </w:r>
      <w:r>
        <w:rPr>
          <w:rStyle w:val="VerbatimChar"/>
        </w:rPr>
        <w:t xml:space="preserve">Knowledge of power or possibilities alone does not imply these premises.</w:t>
      </w:r>
    </w:p>
    <w:bookmarkStart w:id="33" w:name="scope-truth-and-other-agents-freedom"/>
    <w:p>
      <w:pPr>
        <w:pStyle w:val="Heading3"/>
      </w:pPr>
      <w:r>
        <w:t xml:space="preserve">Scope, truth, and other agents’ freedom</w:t>
      </w:r>
    </w:p>
    <w:p>
      <w:pPr>
        <w:pStyle w:val="FirstParagraph"/>
      </w:pPr>
      <w:r>
        <w:t xml:space="preserve">The proposed direction of explanation is: the agent’s action → created effect; warranted awareness of that action → knowledge of its effect. Knowledge tracks the effect’s truth without being learned from it. If the effect includes contingent choices by other agents that this action does not adequately disclose, the inference is insufficient. A further account of divine concurrence, cognitive access, or another way of knowing is needed. Omniscience has not been established.</w:t>
      </w:r>
    </w:p>
    <w:bookmarkEnd w:id="33"/>
    <w:p>
      <w:pPr>
        <w:pStyle w:val="BodyText"/>
      </w:pPr>
      <w:r>
        <w:t xml:space="preserve">07 / LABORATORY</w:t>
      </w:r>
    </w:p>
    <w:bookmarkStart w:id="34" w:name="break-the-proposed-paths."/>
    <w:p>
      <w:pPr>
        <w:pStyle w:val="Heading2"/>
      </w:pPr>
      <w:r>
        <w:t xml:space="preserve">Break the proposed paths.</w:t>
      </w:r>
    </w:p>
    <w:p>
      <w:pPr>
        <w:pStyle w:val="FirstParagraph"/>
      </w:pPr>
      <w:r>
        <w:t xml:space="preserve">Toggle commitments to see which documented arguments remain available. A selected premise is not an independently warranted truth.</w:t>
      </w:r>
    </w:p>
    <w:bookmarkEnd w:id="34"/>
    <w:p>
      <w:pPr>
        <w:pStyle w:val="BodyText"/>
      </w:pPr>
      <w:r>
        <w:t xml:space="preserve">Dependency explorer</w:t>
      </w:r>
    </w:p>
    <w:bookmarkStart w:id="35" w:name="select-the-commitments"/>
    <w:p>
      <w:pPr>
        <w:pStyle w:val="Heading3"/>
      </w:pPr>
      <w:r>
        <w:t xml:space="preserve">Select the commitments</w:t>
      </w:r>
    </w:p>
    <w:p>
      <w:pPr>
        <w:pStyle w:val="FirstParagraph"/>
      </w:pPr>
      <w:r>
        <w:rPr>
          <w:b/>
          <w:bCs/>
        </w:rPr>
        <w:t xml:space="preserve">U</w:t>
      </w:r>
      <w:r>
        <w:t xml:space="preserve"> </w:t>
      </w:r>
      <w:r>
        <w:t xml:space="preserve">Source underivation</w:t>
      </w:r>
      <w:r>
        <w:t xml:space="preserve">Inherited premise</w:t>
      </w:r>
    </w:p>
    <w:p>
      <w:pPr>
        <w:pStyle w:val="BodyText"/>
      </w:pPr>
      <w:r>
        <w:rPr>
          <w:b/>
          <w:bCs/>
        </w:rPr>
        <w:t xml:space="preserve">KD</w:t>
      </w:r>
      <w:r>
        <w:t xml:space="preserve"> </w:t>
      </w:r>
      <w:r>
        <w:t xml:space="preserve">Constitution grounds dependence</w:t>
      </w:r>
      <w:r>
        <w:t xml:space="preserve">Inherited bridge</w:t>
      </w:r>
    </w:p>
    <w:p>
      <w:pPr>
        <w:pStyle w:val="BodyText"/>
      </w:pPr>
      <w:r>
        <w:rPr>
          <w:b/>
          <w:bCs/>
        </w:rPr>
        <w:t xml:space="preserve">F</w:t>
      </w:r>
      <w:r>
        <w:t xml:space="preserve"> </w:t>
      </w:r>
      <w:r>
        <w:t xml:space="preserve">Unbounded / bounded actuality profile</w:t>
      </w:r>
      <w:r>
        <w:t xml:space="preserve">Inherited profile</w:t>
      </w:r>
    </w:p>
    <w:p>
      <w:pPr>
        <w:pStyle w:val="BodyText"/>
      </w:pPr>
      <w:r>
        <w:rPr>
          <w:b/>
          <w:bCs/>
        </w:rPr>
        <w:t xml:space="preserve">M</w:t>
      </w:r>
      <w:r>
        <w:t xml:space="preserve"> </w:t>
      </w:r>
      <w:r>
        <w:t xml:space="preserve">Live creation alternatives</w:t>
      </w:r>
      <w:r>
        <w:t xml:space="preserve">Additional premise</w:t>
      </w:r>
    </w:p>
    <w:p>
      <w:pPr>
        <w:pStyle w:val="BodyText"/>
      </w:pPr>
      <w:r>
        <w:rPr>
          <w:b/>
          <w:bCs/>
        </w:rPr>
        <w:t xml:space="preserve">I</w:t>
      </w:r>
      <w:r>
        <w:t xml:space="preserve"> </w:t>
      </w:r>
      <w:r>
        <w:t xml:space="preserve">Intelligible reasons and possibilities</w:t>
      </w:r>
      <w:r>
        <w:t xml:space="preserve">Additional premise</w:t>
      </w:r>
    </w:p>
    <w:p>
      <w:pPr>
        <w:pStyle w:val="BodyText"/>
      </w:pPr>
      <w:r>
        <w:rPr>
          <w:b/>
          <w:bCs/>
        </w:rPr>
        <w:t xml:space="preserve">A</w:t>
      </w:r>
      <w:r>
        <w:t xml:space="preserve"> </w:t>
      </w:r>
      <w:r>
        <w:t xml:space="preserve">Control of the action</w:t>
      </w:r>
      <w:r>
        <w:t xml:space="preserve">Agency proposal</w:t>
      </w:r>
    </w:p>
    <w:p>
      <w:pPr>
        <w:pStyle w:val="BodyText"/>
      </w:pPr>
      <w:r>
        <w:rPr>
          <w:b/>
          <w:bCs/>
        </w:rPr>
        <w:t xml:space="preserve">T</w:t>
      </w:r>
      <w:r>
        <w:t xml:space="preserve"> </w:t>
      </w:r>
      <w:r>
        <w:t xml:space="preserve">Intention and effect correspond</w:t>
      </w:r>
      <w:r>
        <w:t xml:space="preserve">Specification proposal</w:t>
      </w:r>
    </w:p>
    <w:p>
      <w:pPr>
        <w:pStyle w:val="BodyText"/>
      </w:pPr>
      <w:r>
        <w:rPr>
          <w:b/>
          <w:bCs/>
        </w:rPr>
        <w:t xml:space="preserve">R</w:t>
      </w:r>
      <w:r>
        <w:t xml:space="preserve"> </w:t>
      </w:r>
      <w:r>
        <w:t xml:space="preserve">Awareness of the actual action</w:t>
      </w:r>
      <w:r>
        <w:t xml:space="preserve">Epistemic proposal</w:t>
      </w:r>
    </w:p>
    <w:p>
      <w:pPr>
        <w:pStyle w:val="BodyText"/>
      </w:pPr>
      <w:r>
        <w:rPr>
          <w:b/>
          <w:bCs/>
        </w:rPr>
        <w:t xml:space="preserve">CT</w:t>
      </w:r>
      <w:r>
        <w:t xml:space="preserve"> </w:t>
      </w:r>
      <w:r>
        <w:t xml:space="preserve">The action discloses its effect</w:t>
      </w:r>
      <w:r>
        <w:t xml:space="preserve">Epistemic proposal</w:t>
      </w:r>
    </w:p>
    <w:p>
      <w:pPr>
        <w:pStyle w:val="BodyText"/>
      </w:pPr>
      <w:r>
        <w:rPr>
          <w:b/>
          <w:bCs/>
        </w:rPr>
        <w:t xml:space="preserve">X</w:t>
      </w:r>
      <w:r>
        <w:t xml:space="preserve"> </w:t>
      </w:r>
      <w:r>
        <w:t xml:space="preserve">Same intrinsic actuality across alternatives</w:t>
      </w:r>
      <w:r>
        <w:t xml:space="preserve">Optional compatibility commitment</w:t>
      </w:r>
    </w:p>
    <w:p>
      <w:pPr>
        <w:pStyle w:val="BodyText"/>
      </w:pPr>
      <w:r>
        <w:rPr>
          <w:b/>
          <w:bCs/>
        </w:rPr>
        <w:t xml:space="preserve">EP</w:t>
      </w:r>
      <w:r>
        <w:t xml:space="preserve"> </w:t>
      </w:r>
      <w:r>
        <w:t xml:space="preserve">Warrant for knowledge through one’s action</w:t>
      </w:r>
      <w:r>
        <w:t xml:space="preserve">Epistemic bridge</w:t>
      </w:r>
    </w:p>
    <w:bookmarkEnd w:id="35"/>
    <w:p>
      <w:pPr>
        <w:pStyle w:val="BodyText"/>
      </w:pPr>
      <w:r>
        <w:t xml:space="preserve">2 / 7</w:t>
      </w:r>
    </w:p>
    <w:p>
      <w:pPr>
        <w:pStyle w:val="BodyText"/>
      </w:pPr>
      <w:r>
        <w:t xml:space="preserve">documented paths available under selected commitments</w:t>
      </w:r>
    </w:p>
    <w:bookmarkStart w:id="36" w:name="minimal-noncomposition"/>
    <w:p>
      <w:pPr>
        <w:pStyle w:val="Heading3"/>
      </w:pPr>
      <w:r>
        <w:t xml:space="preserve">Minimal noncomposition</w:t>
      </w:r>
    </w:p>
    <w:p>
      <w:pPr>
        <w:pStyle w:val="FirstParagraph"/>
      </w:pPr>
      <w:r>
        <w:t xml:space="preserve">Conditional theorem</w:t>
      </w:r>
    </w:p>
    <w:p>
      <w:pPr>
        <w:pStyle w:val="BodyText"/>
      </w:pPr>
      <w:r>
        <w:t xml:space="preserve">No proper intrinsic constituents, given the defended grounding bridge.</w:t>
      </w:r>
    </w:p>
    <w:bookmarkEnd w:id="36"/>
    <w:bookmarkStart w:id="37" w:name="finite-non-exhaustion"/>
    <w:p>
      <w:pPr>
        <w:pStyle w:val="Heading3"/>
      </w:pPr>
      <w:r>
        <w:t xml:space="preserve">Finite non-exhaustion</w:t>
      </w:r>
    </w:p>
    <w:p>
      <w:pPr>
        <w:pStyle w:val="FirstParagraph"/>
      </w:pPr>
      <w:r>
        <w:t xml:space="preserve">Inherited conditional result</w:t>
      </w:r>
    </w:p>
    <w:p>
      <w:pPr>
        <w:pStyle w:val="BodyText"/>
      </w:pPr>
      <w:r>
        <w:t xml:space="preserve">The selected source/receiver actuality measures are unequal; no contingency follows.</w:t>
      </w:r>
    </w:p>
    <w:bookmarkEnd w:id="37"/>
    <w:bookmarkStart w:id="38" w:name="whole-order-alternatives"/>
    <w:p>
      <w:pPr>
        <w:pStyle w:val="Heading3"/>
      </w:pPr>
      <w:r>
        <w:t xml:space="preserve">Whole-order alternatives</w:t>
      </w:r>
    </w:p>
    <w:p>
      <w:pPr>
        <w:pStyle w:val="FirstParagraph"/>
      </w:pPr>
      <w:r>
        <w:t xml:space="preserve">Missing: M</w:t>
      </w:r>
    </w:p>
    <w:p>
      <w:pPr>
        <w:pStyle w:val="BodyText"/>
      </w:pPr>
      <w:r>
        <w:t xml:space="preserve">This is a disclosed extension, not a conclusion from infinity.</w:t>
      </w:r>
    </w:p>
    <w:bookmarkEnd w:id="38"/>
    <w:bookmarkStart w:id="39" w:name="intelligent-intentional-action"/>
    <w:p>
      <w:pPr>
        <w:pStyle w:val="Heading3"/>
      </w:pPr>
      <w:r>
        <w:t xml:space="preserve">Intelligent intentional action</w:t>
      </w:r>
    </w:p>
    <w:p>
      <w:pPr>
        <w:pStyle w:val="FirstParagraph"/>
      </w:pPr>
      <w:r>
        <w:t xml:space="preserve">Missing: M, I, A</w:t>
      </w:r>
    </w:p>
    <w:p>
      <w:pPr>
        <w:pStyle w:val="BodyText"/>
      </w:pPr>
      <w:r>
        <w:t xml:space="preserve">A control and intelligibility model is added; these are not established by the source profile.</w:t>
      </w:r>
    </w:p>
    <w:bookmarkEnd w:id="39"/>
    <w:bookmarkStart w:id="40" w:name="Xf92d0ee99c6e8fd03cf90969e5c324154c7e1c0"/>
    <w:p>
      <w:pPr>
        <w:pStyle w:val="Heading3"/>
      </w:pPr>
      <w:r>
        <w:t xml:space="preserve">The agent intentionally produces this effect</w:t>
      </w:r>
    </w:p>
    <w:p>
      <w:pPr>
        <w:pStyle w:val="FirstParagraph"/>
      </w:pPr>
      <w:r>
        <w:t xml:space="preserve">Missing: M, I, A, T</w:t>
      </w:r>
    </w:p>
    <w:p>
      <w:pPr>
        <w:pStyle w:val="BodyText"/>
      </w:pPr>
      <w:r>
        <w:t xml:space="preserve">The added premise connects the chosen plan to the actual effect.</w:t>
      </w:r>
    </w:p>
    <w:bookmarkEnd w:id="40"/>
    <w:bookmarkStart w:id="41" w:name="X7a0a09d162215bae485852db5ff1eac94b2dfda"/>
    <w:p>
      <w:pPr>
        <w:pStyle w:val="Heading3"/>
      </w:pPr>
      <w:r>
        <w:t xml:space="preserve">Action with the same intrinsic source actuality</w:t>
      </w:r>
    </w:p>
    <w:p>
      <w:pPr>
        <w:pStyle w:val="FirstParagraph"/>
      </w:pPr>
      <w:r>
        <w:t xml:space="preserve">Missing: M, I, A, T</w:t>
      </w:r>
    </w:p>
    <w:p>
      <w:pPr>
        <w:pStyle w:val="BodyText"/>
      </w:pPr>
      <w:r>
        <w:t xml:space="preserve">The relational account of intentional action still needs philosophical defense.</w:t>
      </w:r>
    </w:p>
    <w:bookmarkEnd w:id="41"/>
    <w:bookmarkStart w:id="42" w:name="X6320bedda25fe66a01bf4d787842f2d62259527"/>
    <w:p>
      <w:pPr>
        <w:pStyle w:val="Heading3"/>
      </w:pPr>
      <w:r>
        <w:t xml:space="preserve">Knowledge of the effect without learning from it</w:t>
      </w:r>
    </w:p>
    <w:p>
      <w:pPr>
        <w:pStyle w:val="FirstParagraph"/>
      </w:pPr>
      <w:r>
        <w:t xml:space="preserve">Missing: I, A, T, R, CT, EP</w:t>
      </w:r>
    </w:p>
    <w:p>
      <w:pPr>
        <w:pStyle w:val="BodyText"/>
      </w:pPr>
      <w:r>
        <w:t xml:space="preserve">Awareness of the action, disclosure of its effect, and explicit warrant; this does not establish omniscience.</w:t>
      </w:r>
    </w:p>
    <w:bookmarkEnd w:id="42"/>
    <w:p>
      <w:pPr>
        <w:pStyle w:val="BodyText"/>
      </w:pPr>
      <w:r>
        <w:rPr>
          <w:b/>
          <w:bCs/>
        </w:rPr>
        <w:t xml:space="preserve">Still open with every box selected:</w:t>
      </w:r>
      <w:r>
        <w:t xml:space="preserve"> </w:t>
      </w:r>
      <w:r>
        <w:t xml:space="preserve">full simplicity beyond defended dependence arguments; how particular intentional actions can occur without a difference in intrinsic source actuality; adequate knowledge of all secondary free acts and all truths.</w:t>
      </w:r>
    </w:p>
    <w:bookmarkStart w:id="43" w:name="deletion-diagnostics"/>
    <w:p>
      <w:pPr>
        <w:pStyle w:val="Heading3"/>
      </w:pPr>
      <w:r>
        <w:t xml:space="preserve">DELETION DIAGNOSTICS</w:t>
      </w:r>
    </w:p>
    <w:p>
      <w:pPr>
        <w:pStyle w:val="FirstParagraph"/>
      </w:pPr>
      <w:r>
        <w:rPr>
          <w:b/>
          <w:bCs/>
        </w:rPr>
        <w:t xml:space="preserve">Without M: Necessary emanator</w:t>
      </w:r>
      <w:r>
        <w:t xml:space="preserve">A necessary finite emanation remains compatible with the participation profile.</w:t>
      </w:r>
    </w:p>
    <w:p>
      <w:pPr>
        <w:pStyle w:val="BodyText"/>
      </w:pPr>
      <w:r>
        <w:rPr>
          <w:b/>
          <w:bCs/>
        </w:rPr>
        <w:t xml:space="preserve">Without I: Action without understanding</w:t>
      </w:r>
      <w:r>
        <w:t xml:space="preserve">A choice made by the agent can remain uncomprehending; alternatives alone supply no rational understanding.</w:t>
      </w:r>
    </w:p>
    <w:p>
      <w:pPr>
        <w:pStyle w:val="BodyText"/>
      </w:pPr>
      <w:r>
        <w:rPr>
          <w:b/>
          <w:bCs/>
        </w:rPr>
        <w:t xml:space="preserve">Without A: Source-level lottery</w:t>
      </w:r>
      <w:r>
        <w:t xml:space="preserve">An impersonal spontaneous process can select among alternatives while every effect remains source-dependent.</w:t>
      </w:r>
    </w:p>
    <w:p>
      <w:pPr>
        <w:pStyle w:val="BodyText"/>
      </w:pPr>
      <w:r>
        <w:rPr>
          <w:b/>
          <w:bCs/>
        </w:rPr>
        <w:t xml:space="preserve">Without T: Intention without effective specification</w:t>
      </w:r>
      <w:r>
        <w:t xml:space="preserve">An intended plan need not coincide with the actual outcome. Other specification ontologies may supply a substitute.</w:t>
      </w:r>
    </w:p>
    <w:p>
      <w:pPr>
        <w:pStyle w:val="BodyText"/>
      </w:pPr>
      <w:r>
        <w:rPr>
          <w:b/>
          <w:bCs/>
        </w:rPr>
        <w:t xml:space="preserve">Without R: Capacity-aware source</w:t>
      </w:r>
      <w:r>
        <w:t xml:space="preserve">Possibilities remain known while which exercise is actual is not disclosed. Other non-receptive epistemologies remain possible.</w:t>
      </w:r>
    </w:p>
    <w:p>
      <w:pPr>
        <w:pStyle w:val="BodyText"/>
      </w:pPr>
      <w:r>
        <w:rPr>
          <w:b/>
          <w:bCs/>
        </w:rPr>
        <w:t xml:space="preserve">Without CT: Effect not disclosed by the action</w:t>
      </w:r>
      <w:r>
        <w:t xml:space="preserve">Awareness of one’s action need not disclose every external result. Scope and adequacy still need defending.</w:t>
      </w:r>
    </w:p>
    <w:p>
      <w:pPr>
        <w:pStyle w:val="BodyText"/>
      </w:pPr>
      <w:r>
        <w:rPr>
          <w:b/>
          <w:bCs/>
        </w:rPr>
        <w:t xml:space="preserve">Without EP: Accurate access without warranted knowledge</w:t>
      </w:r>
      <w:r>
        <w:t xml:space="preserve">Correct access records may coexist with an unsupported knowledge claim. If R is instead defined as fully warranted knowledge, this bridge is absorbed into that stronger premise.</w:t>
      </w:r>
    </w:p>
    <w:p>
      <w:pPr>
        <w:pStyle w:val="BodyText"/>
      </w:pPr>
      <w:r>
        <w:t xml:space="preserve">Dependency explorer, not a theorem prover. Programmed paths are not proofs of philosophical truth or universal underivability. Checked models and schematic objections are identified separately in the formal audit.</w:t>
      </w:r>
    </w:p>
    <w:bookmarkEnd w:id="43"/>
    <w:p>
      <w:pPr>
        <w:pStyle w:val="BodyText"/>
      </w:pPr>
      <w:r>
        <w:t xml:space="preserve">08 / MAP</w:t>
      </w:r>
    </w:p>
    <w:bookmarkStart w:id="44" w:name="distinct-arguments-one-architecture."/>
    <w:p>
      <w:pPr>
        <w:pStyle w:val="Heading2"/>
      </w:pPr>
      <w:r>
        <w:t xml:space="preserve">Distinct arguments, one architecture.</w:t>
      </w:r>
    </w:p>
    <w:p>
      <w:pPr>
        <w:pStyle w:val="FirstParagraph"/>
      </w:pPr>
      <w:r>
        <w:t xml:space="preserve">The arrows identify different explanatory jobs. A result about constitution cannot silently supply alternatives, intentional control, or cognitive warrant.</w:t>
      </w:r>
    </w:p>
    <w:bookmarkEnd w:id="44"/>
    <w:p>
      <w:pPr>
        <w:pStyle w:val="BodyText"/>
      </w:pPr>
      <w:r>
        <w:t xml:space="preserve">Argument map</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 Manifestation–Measure 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 “received.”</w:t>
      </w:r>
    </w:p>
    <w:p>
      <w:pPr>
        <w:pStyle w:val="BodyText"/>
      </w:pPr>
      <w:r>
        <w:t xml:space="preserve">Adopted source profile</w:t>
      </w:r>
      <w:r>
        <w:t xml:space="preserve"> </w:t>
      </w:r>
      <w:r>
        <w:t xml:space="preserve">— not derived from the word participation</w:t>
      </w:r>
    </w:p>
    <w:p>
      <w:pPr>
        <w:pStyle w:val="BodyText"/>
      </w:pPr>
      <w:r>
        <w:rPr>
          <w:b/>
          <w:bCs/>
        </w:rPr>
        <w:t xml:space="preserve">Underivation + KD</w:t>
      </w:r>
      <w:r>
        <w:t xml:space="preserve">CONDITIONAL IMPLICATION</w:t>
      </w:r>
      <w:r>
        <w:t xml:space="preserve">No proper intrinsic constituents</w:t>
      </w:r>
    </w:p>
    <w:p>
      <w:pPr>
        <w:pStyle w:val="BodyText"/>
      </w:pPr>
      <w:r>
        <w:t xml:space="preserve">↓ examine each proposed further structure</w:t>
      </w:r>
    </w:p>
    <w:p>
      <w:pPr>
        <w:pStyle w:val="BodyText"/>
      </w:pPr>
      <w:r>
        <w:rPr>
          <w:b/>
          <w:bCs/>
        </w:rPr>
        <w:t xml:space="preserve">Stronger simplicity claims</w:t>
      </w:r>
      <w:r>
        <w:t xml:space="preserve">SEPARATE DEFENDED BRIDGES / OPEN CASES</w:t>
      </w:r>
      <w:r>
        <w:t xml:space="preserve">Act/potency · essence/existence · attributes · relations</w:t>
      </w:r>
    </w:p>
    <w:p>
      <w:pPr>
        <w:pStyle w:val="BodyText"/>
      </w:pPr>
      <w:r>
        <w:rPr>
          <w:b/>
          <w:bCs/>
        </w:rPr>
        <w:t xml:space="preserve">Optional X</w:t>
      </w:r>
      <w:r>
        <w:t xml:space="preserve">ADDITIONAL MODAL COMMITMENT</w:t>
      </w:r>
      <w:r>
        <w:t xml:space="preserve">Same intrinsic actuality across possible outcomes</w:t>
      </w:r>
    </w:p>
    <w:p>
      <w:pPr>
        <w:pStyle w:val="BodyText"/>
      </w:pPr>
      <w:r>
        <w:rPr>
          <w:b/>
          <w:bCs/>
        </w:rPr>
        <w:t xml:space="preserve">Modal openness</w:t>
      </w:r>
      <w:r>
        <w:t xml:space="preserve">ADDED PREMISE</w:t>
      </w:r>
      <w:r>
        <w:t xml:space="preserve">A · B · no creation</w:t>
      </w:r>
    </w:p>
    <w:p>
      <w:pPr>
        <w:pStyle w:val="BodyText"/>
      </w:pPr>
      <w:r>
        <w:t xml:space="preserve">+ understood reasons + intentional control</w:t>
      </w:r>
    </w:p>
    <w:p>
      <w:pPr>
        <w:pStyle w:val="BodyText"/>
      </w:pPr>
      <w:r>
        <w:rPr>
          <w:b/>
          <w:bCs/>
        </w:rPr>
        <w:t xml:space="preserve">Intentional action</w:t>
      </w:r>
      <w:r>
        <w:t xml:space="preserve">CONSTRUCTIVE AGENCY RESOURCE</w:t>
      </w:r>
      <w:r>
        <w:t xml:space="preserve">Actual intentional action is an added commitment, not supplied by fullness</w:t>
      </w:r>
    </w:p>
    <w:p>
      <w:pPr>
        <w:pStyle w:val="BodyText"/>
      </w:pPr>
      <w:r>
        <w:t xml:space="preserve">+ the intended plan corresponds to the effect</w:t>
      </w:r>
    </w:p>
    <w:p>
      <w:pPr>
        <w:pStyle w:val="BodyText"/>
      </w:pPr>
      <w:r>
        <w:rPr>
          <w:b/>
          <w:bCs/>
        </w:rPr>
        <w:t xml:space="preserve">The intended creation actually occurs</w:t>
      </w:r>
      <w:r>
        <w:t xml:space="preserve">CANDIDATE COMPATIBILITY WITH NONCOMPOSITION</w:t>
      </w:r>
      <w:r>
        <w:t xml:space="preserve">X requires a disputed account of action as a real relation</w:t>
      </w:r>
    </w:p>
    <w:p>
      <w:pPr>
        <w:pStyle w:val="BodyText"/>
      </w:pPr>
      <w:r>
        <w:t xml:space="preserve">+ R + CT + EP: access, transparency, warrant</w:t>
      </w:r>
    </w:p>
    <w:p>
      <w:pPr>
        <w:pStyle w:val="BodyText"/>
      </w:pPr>
      <w:r>
        <w:rPr>
          <w:b/>
          <w:bCs/>
        </w:rPr>
        <w:t xml:space="preserve">Knowledge without learning from the effect</w:t>
      </w:r>
      <w:r>
        <w:t xml:space="preserve">CONDITIONAL EPISTEMIC ACCOUNT</w:t>
      </w:r>
      <w:r>
        <w:t xml:space="preserve">Limited to what the actual action adequately discloses</w:t>
      </w:r>
    </w:p>
    <w:p>
      <w:pPr>
        <w:pStyle w:val="BodyText"/>
      </w:pPr>
      <w:r>
        <w:t xml:space="preserve">09 / HISTORY</w:t>
      </w:r>
    </w:p>
    <w:bookmarkStart w:id="45" w:name="exemplars-at-different-joints."/>
    <w:p>
      <w:pPr>
        <w:pStyle w:val="Heading2"/>
      </w:pPr>
      <w:r>
        <w:t xml:space="preserve">Exemplars at different joints.</w:t>
      </w:r>
    </w:p>
    <w:p>
      <w:pPr>
        <w:pStyle w:val="FirstParagraph"/>
      </w:pPr>
      <w:r>
        <w:t xml:space="preserve">No final system is attributed to these authors. The constructive architecture can develop beyond them, provided it preserves the achievements it retrieves and makes disagreement visible.</w:t>
      </w:r>
    </w:p>
    <w:bookmarkEnd w:id="45"/>
    <w:p>
      <w:pPr>
        <w:pStyle w:val="BodyText"/>
      </w:pPr>
      <w:r>
        <w:t xml:space="preserve">Historical resources</w:t>
      </w:r>
    </w:p>
    <w:p>
      <w:pPr>
        <w:pStyle w:val="BodyText"/>
      </w:pPr>
      <w:r>
        <w:t xml:space="preserve">Constitution &amp; rational excellence</w:t>
      </w:r>
    </w:p>
    <w:bookmarkStart w:id="46" w:name="anselm"/>
    <w:p>
      <w:pPr>
        <w:pStyle w:val="Heading3"/>
      </w:pPr>
      <w:r>
        <w:t xml:space="preserve">Anselm</w:t>
      </w:r>
    </w:p>
    <w:p>
      <w:pPr>
        <w:pStyle w:val="FirstParagraph"/>
      </w:pPr>
      <w:r>
        <w:t xml:space="preserve">Composite dependence, unchanged intrinsic nature with changing relative predication, and freedom as rectitude for its own sake.</w:t>
      </w:r>
    </w:p>
    <w:p>
      <w:pPr>
        <w:pStyle w:val="BodyText"/>
      </w:pPr>
      <w:r>
        <w:t xml:space="preserve">The freedom passages are consulted through Williams’s specialist entry; they are not a deduction of creation alternatives.</w:t>
      </w:r>
    </w:p>
    <w:p>
      <w:pPr>
        <w:pStyle w:val="BodyText"/>
      </w:pPr>
      <w:r>
        <w:t xml:space="preserve">Monologion 17, 25; De libertate arbitrii 3; De veritate 12</w:t>
      </w:r>
    </w:p>
    <w:p>
      <w:pPr>
        <w:pStyle w:val="BodyText"/>
      </w:pPr>
      <w:r>
        <w:t xml:space="preserve">Constitution, voluntary expression &amp; knowledge as cause</w:t>
      </w:r>
    </w:p>
    <w:bookmarkEnd w:id="46"/>
    <w:bookmarkStart w:id="47" w:name="aquinas"/>
    <w:p>
      <w:pPr>
        <w:pStyle w:val="Heading3"/>
      </w:pPr>
      <w:r>
        <w:t xml:space="preserve">Aquinas</w:t>
      </w:r>
    </w:p>
    <w:p>
      <w:pPr>
        <w:pStyle w:val="FirstParagraph"/>
      </w:pPr>
      <w:r>
        <w:t xml:space="preserve">Composition depends on components; simple willing can communicate goodness; knowledge causes insofar as joined to willing.</w:t>
      </w:r>
    </w:p>
    <w:p>
      <w:pPr>
        <w:pStyle w:val="BodyText"/>
      </w:pPr>
      <w:r>
        <w:t xml:space="preserve">His account supplies resources, not proof of the new relational account of action or a completed response to modal collapse.</w:t>
      </w:r>
    </w:p>
    <w:p>
      <w:pPr>
        <w:pStyle w:val="BodyText"/>
      </w:pPr>
      <w:r>
        <w:t xml:space="preserve">ST I q.3 a.7; q.14 aa.5, 8; q.19 aa.2–3</w:t>
      </w:r>
    </w:p>
    <w:p>
      <w:pPr>
        <w:pStyle w:val="BodyText"/>
      </w:pPr>
      <w:r>
        <w:t xml:space="preserve">Live contingency</w:t>
      </w:r>
    </w:p>
    <w:bookmarkEnd w:id="47"/>
    <w:bookmarkStart w:id="48" w:name="scotus"/>
    <w:p>
      <w:pPr>
        <w:pStyle w:val="Heading3"/>
      </w:pPr>
      <w:r>
        <w:t xml:space="preserve">Scotus</w:t>
      </w:r>
    </w:p>
    <w:p>
      <w:pPr>
        <w:pStyle w:val="FirstParagraph"/>
      </w:pPr>
      <w:r>
        <w:t xml:space="preserve">Alternatives at the act of choice, rather than later changes of thought; freedom not merely intellectual appetite.</w:t>
      </w:r>
    </w:p>
    <w:p>
      <w:pPr>
        <w:pStyle w:val="BodyText"/>
      </w:pPr>
      <w:r>
        <w:t xml:space="preserve">Current specialist interpretation consulted. Critical d.39 primary collation remains pending; identical intrinsic actuality across possible worlds is not inferred.</w:t>
      </w:r>
    </w:p>
    <w:p>
      <w:pPr>
        <w:pStyle w:val="BodyText"/>
      </w:pPr>
      <w:r>
        <w:t xml:space="preserve">Williams, “John Duns Scotus,” §5.2; Lectura I d.39 as primary follow-up</w:t>
      </w:r>
    </w:p>
    <w:p>
      <w:pPr>
        <w:pStyle w:val="BodyText"/>
      </w:pPr>
      <w:r>
        <w:t xml:space="preserve">Exemplar intelligence without cognitive acquisition</w:t>
      </w:r>
    </w:p>
    <w:bookmarkEnd w:id="48"/>
    <w:bookmarkStart w:id="49" w:name="augustine"/>
    <w:p>
      <w:pPr>
        <w:pStyle w:val="Heading3"/>
      </w:pPr>
      <w:r>
        <w:t xml:space="preserve">Augustine</w:t>
      </w:r>
    </w:p>
    <w:p>
      <w:pPr>
        <w:pStyle w:val="FirstParagraph"/>
      </w:pPr>
      <w:r>
        <w:t xml:space="preserve">Divine wisdom and immutable knowledge are not received from creatures; ideas are reasons in divine intelligence, rather than external standards.</w:t>
      </w:r>
    </w:p>
    <w:p>
      <w:pPr>
        <w:pStyle w:val="BodyText"/>
      </w:pPr>
      <w:r>
        <w:t xml:space="preserve">City of God passages are primary witnesses; q.46 remains a primary collation lead in this project.</w:t>
      </w:r>
    </w:p>
    <w:p>
      <w:pPr>
        <w:pStyle w:val="BodyText"/>
      </w:pPr>
      <w:r>
        <w:t xml:space="preserve">City of God XI.10, XI.21; De diversis quaestionibus 83 q.46</w:t>
      </w:r>
    </w:p>
    <w:p>
      <w:pPr>
        <w:pStyle w:val="BodyText"/>
      </w:pPr>
      <w:r>
        <w:t xml:space="preserve">Nonpartition &amp; determinate intelligibility</w:t>
      </w:r>
    </w:p>
    <w:bookmarkEnd w:id="49"/>
    <w:bookmarkStart w:id="50" w:name="dionysius-maximus"/>
    <w:p>
      <w:pPr>
        <w:pStyle w:val="Heading3"/>
      </w:pPr>
      <w:r>
        <w:t xml:space="preserve">Dionysius &amp; Maximus</w:t>
      </w:r>
    </w:p>
    <w:p>
      <w:pPr>
        <w:pStyle w:val="FirstParagraph"/>
      </w:pPr>
      <w:r>
        <w:t xml:space="preserve">Undivided communication and differentiated logoi support intelligible finite expression without independent Forms.</w:t>
      </w:r>
    </w:p>
    <w:p>
      <w:pPr>
        <w:pStyle w:val="BodyText"/>
      </w:pPr>
      <w:r>
        <w:t xml:space="preserve">The Greek digital witnesses have OCR/provenance limits. Neither text is made to teach necessary emanation or the proposed specification model.</w:t>
      </w:r>
    </w:p>
    <w:p>
      <w:pPr>
        <w:pStyle w:val="BodyText"/>
      </w:pPr>
      <w:r>
        <w:t xml:space="preserve">Divine Names II.5, V.8; Ambiguum 7</w:t>
      </w:r>
    </w:p>
    <w:p>
      <w:pPr>
        <w:pStyle w:val="BodyText"/>
      </w:pPr>
      <w:r>
        <w:t xml:space="preserve">Continuity with participation</w:t>
      </w:r>
    </w:p>
    <w:bookmarkEnd w:id="50"/>
    <w:bookmarkStart w:id="51" w:name="bonaventure-nyssa"/>
    <w:p>
      <w:pPr>
        <w:pStyle w:val="Heading3"/>
      </w:pPr>
      <w:r>
        <w:t xml:space="preserve">Bonaventure &amp; Nyssa</w:t>
      </w:r>
    </w:p>
    <w:p>
      <w:pPr>
        <w:pStyle w:val="FirstParagraph"/>
      </w:pPr>
      <w:r>
        <w:t xml:space="preserve">Exemplar expression and finite measure; unlimited source excess remains a constraint on agency theory.</w:t>
      </w:r>
    </w:p>
    <w:p>
      <w:pPr>
        <w:pStyle w:val="BodyText"/>
      </w:pPr>
      <w:r>
        <w:t xml:space="preserve">Trinitarian diffusion of goodness is not an argument for necessary created production; Nyssen infinity does not establish modal alternatives.</w:t>
      </w:r>
    </w:p>
    <w:p>
      <w:pPr>
        <w:pStyle w:val="BodyText"/>
      </w:pPr>
      <w:r>
        <w:t xml:space="preserve">Itinerarium II–III, VI.2; On the Making of Man XVI</w:t>
      </w:r>
    </w:p>
    <w:p>
      <w:pPr>
        <w:pStyle w:val="BodyText"/>
      </w:pPr>
      <w:r>
        <w:t xml:space="preserve">Expression / constitution stress test</w:t>
      </w:r>
    </w:p>
    <w:bookmarkEnd w:id="51"/>
    <w:bookmarkStart w:id="52" w:name="eriugena-przywara"/>
    <w:p>
      <w:pPr>
        <w:pStyle w:val="Heading3"/>
      </w:pPr>
      <w:r>
        <w:t xml:space="preserve">Eriugena &amp; Przywara</w:t>
      </w:r>
    </w:p>
    <w:p>
      <w:pPr>
        <w:pStyle w:val="FirstParagraph"/>
      </w:pPr>
      <w:r>
        <w:t xml:space="preserve">Theophany and the Creator–creature interval test whether real manifestation becomes source constitution.</w:t>
      </w:r>
    </w:p>
    <w:p>
      <w:pPr>
        <w:pStyle w:val="BodyText"/>
      </w:pPr>
      <w:r>
        <w:t xml:space="preserve">Relevant earlier dossiers are reused; Przywara’s full text remains unconsulted. Greater dissimilarity is not a substitute for a bridge argument.</w:t>
      </w:r>
    </w:p>
    <w:p>
      <w:pPr>
        <w:pStyle w:val="BodyText"/>
      </w:pPr>
      <w:r>
        <w:t xml:space="preserve">Periphyseon I.446D, I.455B; Analogia Entis</w:t>
      </w:r>
    </w:p>
    <w:p>
      <w:pPr>
        <w:pStyle w:val="BodyText"/>
      </w:pPr>
      <w:r>
        <w:t xml:space="preserve">Development &amp; adversarial control</w:t>
      </w:r>
    </w:p>
    <w:bookmarkEnd w:id="52"/>
    <w:bookmarkStart w:id="53" w:name="newman-and-further-resources"/>
    <w:p>
      <w:pPr>
        <w:pStyle w:val="Heading3"/>
      </w:pPr>
      <w:r>
        <w:t xml:space="preserve">Newman and further resources</w:t>
      </w:r>
    </w:p>
    <w:p>
      <w:pPr>
        <w:pStyle w:val="FirstParagraph"/>
      </w:pPr>
      <w:r>
        <w:t xml:space="preserve">Organic development may introduce new explanatory concepts; contemporary objections test truthmaking and modal consistency.</w:t>
      </w:r>
    </w:p>
    <w:p>
      <w:pPr>
        <w:pStyle w:val="BodyText"/>
      </w:pPr>
      <w:r>
        <w:t xml:space="preserve">Newman provides an analogy, not doctrinal certification. Modern discussion does not predetermine the constructive result.</w:t>
      </w:r>
    </w:p>
    <w:p>
      <w:pPr>
        <w:pStyle w:val="BodyText"/>
      </w:pPr>
      <w:r>
        <w:t xml:space="preserve">Essay on Development ch.V; Vallicella, “Divine Simplicity,” §§6–7</w:t>
      </w:r>
    </w:p>
    <w:bookmarkEnd w:id="53"/>
    <w:p>
      <w:pPr>
        <w:pStyle w:val="BodyText"/>
      </w:pPr>
      <w:r>
        <w:t xml:space="preserve">10 / DEVELOPMENT</w:t>
      </w:r>
    </w:p>
    <w:bookmarkStart w:id="54" w:name="Xd78e634de97dd968378de14ccd8ccef1a8fe95e"/>
    <w:p>
      <w:pPr>
        <w:pStyle w:val="Heading2"/>
      </w:pPr>
      <w:r>
        <w:t xml:space="preserve">Development has constraints, not a fixed ceiling.</w:t>
      </w:r>
    </w:p>
    <w:p>
      <w:pPr>
        <w:pStyle w:val="FirstParagraph"/>
      </w:pPr>
      <w:r>
        <w:t xml:space="preserve">Newman is an analogical methodological guide. Historical continuity neither guarantees metaphysical truth nor forbids a genuinely new explanatory distinction.</w:t>
      </w:r>
    </w:p>
    <w:bookmarkEnd w:id="54"/>
    <w:p>
      <w:pPr>
        <w:pStyle w:val="BodyText"/>
      </w:pPr>
      <w:r>
        <w:t xml:space="preserve">Provisional continuity assessment</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Start w:id="55" w:name="X19132d569db66f5970dcf055676ebf0bd713864"/>
    <w:p>
      <w:pPr>
        <w:pStyle w:val="Heading3"/>
      </w:pPr>
      <w:r>
        <w:t xml:space="preserve">The seven notes and the development verdict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Newman’s note</w:t>
            </w:r>
          </w:p>
        </w:tc>
        <w:tc>
          <w:tcPr>
            <w:tcW w:type="dxa" w:w="7452"/>
            <w:shd w:fill="EAE5DA"/>
          </w:tcPr>
          <w:p>
            <w:pPr>
              <w:pStyle w:val="BodyText"/>
              <w:keepNext w:val="0"/>
              <w:spacing w:after="80" w:line="252" w:lineRule="auto"/>
              <w:jc w:val="left"/>
            </w:pPr>
            <w:r>
              <w:rPr>
                <w:rFonts w:ascii="Calibri" w:hAnsi="Calibri"/>
                <w:b/>
                <w:sz w:val="17"/>
              </w:rPr>
              <w:t xml:space="preserve">Present assessment</w:t>
            </w:r>
          </w:p>
        </w:tc>
      </w:tr>
      <w:tr>
        <w:tc>
          <w:tcPr>
            <w:tcW w:type="dxa" w:w="2484"/>
          </w:tcPr>
          <w:p>
            <w:pPr>
              <w:pStyle w:val="BodyText"/>
              <w:keepNext w:val="0"/>
              <w:spacing w:after="80" w:line="252" w:lineRule="auto"/>
              <w:jc w:val="left"/>
            </w:pPr>
            <w:r>
              <w:rPr>
                <w:rFonts w:ascii="Calibri" w:hAnsi="Calibri"/>
                <w:sz w:val="17"/>
              </w:rPr>
              <w:t xml:space="preserve">Preservation of type</w:t>
            </w:r>
          </w:p>
        </w:tc>
        <w:tc>
          <w:tcPr>
            <w:tcW w:type="dxa" w:w="7452"/>
          </w:tcPr>
          <w:p>
            <w:pPr>
              <w:pStyle w:val="BodyText"/>
              <w:keepNext w:val="0"/>
              <w:spacing w:after="80" w:line="252" w:lineRule="auto"/>
              <w:jc w:val="left"/>
            </w:pPr>
            <w:r>
              <w:rPr>
                <w:rFonts w:ascii="Calibri" w:hAnsi="Calibri"/>
                <w:sz w:val="17"/>
              </w:rPr>
              <w:t xml:space="preserve">Uncreated source, finite reception, nonpartition, and real agency are conserved as constraints.</w:t>
            </w:r>
          </w:p>
        </w:tc>
      </w:tr>
      <w:tr>
        <w:tc>
          <w:tcPr>
            <w:tcW w:type="dxa" w:w="2484"/>
          </w:tcPr>
          <w:p>
            <w:pPr>
              <w:pStyle w:val="BodyText"/>
              <w:keepNext w:val="0"/>
              <w:spacing w:after="80" w:line="252" w:lineRule="auto"/>
              <w:jc w:val="left"/>
            </w:pPr>
            <w:r>
              <w:rPr>
                <w:rFonts w:ascii="Calibri" w:hAnsi="Calibri"/>
                <w:sz w:val="17"/>
              </w:rPr>
              <w:t xml:space="preserve">Continuity of principles</w:t>
            </w:r>
          </w:p>
        </w:tc>
        <w:tc>
          <w:tcPr>
            <w:tcW w:type="dxa" w:w="7452"/>
          </w:tcPr>
          <w:p>
            <w:pPr>
              <w:pStyle w:val="BodyText"/>
              <w:keepNext w:val="0"/>
              <w:spacing w:after="80" w:line="252" w:lineRule="auto"/>
              <w:jc w:val="left"/>
            </w:pPr>
            <w:r>
              <w:rPr>
                <w:rFonts w:ascii="Calibri" w:hAnsi="Calibri"/>
                <w:sz w:val="17"/>
              </w:rPr>
              <w:t xml:space="preserve">No effect is introduced as a constitutive or receptive actualizer of the source.</w:t>
            </w:r>
          </w:p>
        </w:tc>
      </w:tr>
      <w:tr>
        <w:tc>
          <w:tcPr>
            <w:tcW w:type="dxa" w:w="2484"/>
          </w:tcPr>
          <w:p>
            <w:pPr>
              <w:pStyle w:val="BodyText"/>
              <w:keepNext w:val="0"/>
              <w:spacing w:after="80" w:line="252" w:lineRule="auto"/>
              <w:jc w:val="left"/>
            </w:pPr>
            <w:r>
              <w:rPr>
                <w:rFonts w:ascii="Calibri" w:hAnsi="Calibri"/>
                <w:sz w:val="17"/>
              </w:rPr>
              <w:t xml:space="preserve">Power of assimilation</w:t>
            </w:r>
          </w:p>
        </w:tc>
        <w:tc>
          <w:tcPr>
            <w:tcW w:type="dxa" w:w="7452"/>
          </w:tcPr>
          <w:p>
            <w:pPr>
              <w:pStyle w:val="BodyText"/>
              <w:keepNext w:val="0"/>
              <w:spacing w:after="80" w:line="252" w:lineRule="auto"/>
              <w:jc w:val="left"/>
            </w:pPr>
            <w:r>
              <w:rPr>
                <w:rFonts w:ascii="Calibri" w:hAnsi="Calibri"/>
                <w:sz w:val="17"/>
              </w:rPr>
              <w:t xml:space="preserve">Distinct causal, modal, intentional, and epistemic resources remain distinguishable.</w:t>
            </w:r>
          </w:p>
        </w:tc>
      </w:tr>
      <w:tr>
        <w:tc>
          <w:tcPr>
            <w:tcW w:type="dxa" w:w="2484"/>
          </w:tcPr>
          <w:p>
            <w:pPr>
              <w:pStyle w:val="BodyText"/>
              <w:keepNext w:val="0"/>
              <w:spacing w:after="80" w:line="252" w:lineRule="auto"/>
              <w:jc w:val="left"/>
            </w:pPr>
            <w:r>
              <w:rPr>
                <w:rFonts w:ascii="Calibri" w:hAnsi="Calibri"/>
                <w:sz w:val="17"/>
              </w:rPr>
              <w:t xml:space="preserve">Logical sequence</w:t>
            </w:r>
          </w:p>
        </w:tc>
        <w:tc>
          <w:tcPr>
            <w:tcW w:type="dxa" w:w="7452"/>
          </w:tcPr>
          <w:p>
            <w:pPr>
              <w:pStyle w:val="BodyText"/>
              <w:keepNext w:val="0"/>
              <w:spacing w:after="80" w:line="252" w:lineRule="auto"/>
              <w:jc w:val="left"/>
            </w:pPr>
            <w:r>
              <w:rPr>
                <w:rFonts w:ascii="Calibri" w:hAnsi="Calibri"/>
                <w:sz w:val="17"/>
              </w:rPr>
              <w:t xml:space="preserve">Each new explanatory job requires a named, audited addition.</w:t>
            </w:r>
          </w:p>
        </w:tc>
      </w:tr>
      <w:tr>
        <w:tc>
          <w:tcPr>
            <w:tcW w:type="dxa" w:w="2484"/>
          </w:tcPr>
          <w:p>
            <w:pPr>
              <w:pStyle w:val="BodyText"/>
              <w:keepNext w:val="0"/>
              <w:spacing w:after="80" w:line="252" w:lineRule="auto"/>
              <w:jc w:val="left"/>
            </w:pPr>
            <w:r>
              <w:rPr>
                <w:rFonts w:ascii="Calibri" w:hAnsi="Calibri"/>
                <w:sz w:val="17"/>
              </w:rPr>
              <w:t xml:space="preserve">Anticipation of its future</w:t>
            </w:r>
          </w:p>
        </w:tc>
        <w:tc>
          <w:tcPr>
            <w:tcW w:type="dxa" w:w="7452"/>
          </w:tcPr>
          <w:p>
            <w:pPr>
              <w:pStyle w:val="BodyText"/>
              <w:keepNext w:val="0"/>
              <w:spacing w:after="80" w:line="252" w:lineRule="auto"/>
              <w:jc w:val="left"/>
            </w:pPr>
            <w:r>
              <w:rPr>
                <w:rFonts w:ascii="Calibri" w:hAnsi="Calibri"/>
                <w:sz w:val="17"/>
              </w:rPr>
              <w:t xml:space="preserve">Prior arguments anticipate some distinctions, not this complete modern model.</w:t>
            </w:r>
          </w:p>
        </w:tc>
      </w:tr>
      <w:tr>
        <w:tc>
          <w:tcPr>
            <w:tcW w:type="dxa" w:w="2484"/>
          </w:tcPr>
          <w:p>
            <w:pPr>
              <w:pStyle w:val="BodyText"/>
              <w:keepNext w:val="0"/>
              <w:spacing w:after="80" w:line="252" w:lineRule="auto"/>
              <w:jc w:val="left"/>
            </w:pPr>
            <w:r>
              <w:rPr>
                <w:rFonts w:ascii="Calibri" w:hAnsi="Calibri"/>
                <w:sz w:val="17"/>
              </w:rPr>
              <w:t xml:space="preserve">Conservative action upon its past</w:t>
            </w:r>
          </w:p>
        </w:tc>
        <w:tc>
          <w:tcPr>
            <w:tcW w:type="dxa" w:w="7452"/>
          </w:tcPr>
          <w:p>
            <w:pPr>
              <w:pStyle w:val="BodyText"/>
              <w:keepNext w:val="0"/>
              <w:spacing w:after="80" w:line="252" w:lineRule="auto"/>
              <w:jc w:val="left"/>
            </w:pPr>
            <w:r>
              <w:rPr>
                <w:rFonts w:ascii="Calibri" w:hAnsi="Calibri"/>
                <w:sz w:val="17"/>
              </w:rPr>
              <w:t xml:space="preserve">The inherited noncomposition theorem remains; genuine differences are not harmonized by definition.</w:t>
            </w:r>
          </w:p>
        </w:tc>
      </w:tr>
      <w:tr>
        <w:tc>
          <w:tcPr>
            <w:tcW w:type="dxa" w:w="2484"/>
          </w:tcPr>
          <w:p>
            <w:pPr>
              <w:pStyle w:val="BodyText"/>
              <w:keepNext w:val="0"/>
              <w:spacing w:after="80" w:line="252" w:lineRule="auto"/>
              <w:jc w:val="left"/>
            </w:pPr>
            <w:r>
              <w:rPr>
                <w:rFonts w:ascii="Calibri" w:hAnsi="Calibri"/>
                <w:sz w:val="17"/>
              </w:rPr>
              <w:t xml:space="preserve">Chronic vigour</w:t>
            </w:r>
          </w:p>
        </w:tc>
        <w:tc>
          <w:tcPr>
            <w:tcW w:type="dxa" w:w="7452"/>
          </w:tcPr>
          <w:p>
            <w:pPr>
              <w:pStyle w:val="BodyText"/>
              <w:keepNext w:val="0"/>
              <w:spacing w:after="80" w:line="252" w:lineRule="auto"/>
              <w:jc w:val="left"/>
            </w:pPr>
            <w:r>
              <w:rPr>
                <w:rFonts w:ascii="Calibri" w:hAnsi="Calibri"/>
                <w:sz w:val="17"/>
              </w:rPr>
              <w:t xml:space="preserve">Not established for a new proposal. Explanatory stability is only a provisional analogue.</w:t>
            </w:r>
          </w:p>
        </w:tc>
      </w:tr>
    </w:tbl>
    <w:bookmarkEnd w:id="55"/>
    <w:p>
      <w:pPr>
        <w:pStyle w:val="BodyText"/>
      </w:pPr>
      <w:hyperlink r:id="rId20">
        <w:r>
          <w:rPr>
            <w:rStyle w:val="Hyperlink"/>
          </w:rPr>
          <w:t xml:space="preserve">Shared reading guide →</w:t>
        </w:r>
      </w:hyperlink>
      <w:hyperlink r:id="rId56">
        <w:r>
          <w:rPr>
            <w:rStyle w:val="Hyperlink"/>
          </w:rPr>
          <w:t xml:space="preserve">Complete Part II report →</w:t>
        </w:r>
      </w:hyperlink>
      <w:hyperlink r:id="rId57">
        <w:r>
          <w:rPr>
            <w:rStyle w:val="Hyperlink"/>
          </w:rPr>
          <w:t xml:space="preserve">Formal audit &amp; models →</w:t>
        </w:r>
      </w:hyperlink>
      <w:hyperlink r:id="rId58">
        <w:r>
          <w:rPr>
            <w:rStyle w:val="Hyperlink"/>
          </w:rPr>
          <w:t xml:space="preserve">Primary/source dossier →</w:t>
        </w:r>
      </w:hyperlink>
      <w:hyperlink r:id="rId59">
        <w:r>
          <w:rPr>
            <w:rStyle w:val="Hyperlink"/>
          </w:rPr>
          <w:t xml:space="preserve">Development assessment →</w:t>
        </w:r>
      </w:hyperlink>
    </w:p>
    <w:p>
      <w:pPr>
        <w:pStyle w:val="BodyText"/>
      </w:pPr>
      <w:r>
        <w:t xml:space="preserve">Q&amp;A / DIRECT ANSWERS</w:t>
      </w:r>
    </w:p>
    <w:bookmarkStart w:id="60" w:name="questions-answers"/>
    <w:p>
      <w:pPr>
        <w:pStyle w:val="Heading2"/>
      </w:pPr>
      <w:r>
        <w:t xml:space="preserve">Questions &amp; answers</w:t>
      </w:r>
    </w:p>
    <w:p>
      <w:pPr>
        <w:pStyle w:val="FirstParagraph"/>
      </w:pPr>
      <w:r>
        <w:t xml:space="preserve">What underivation establishes, what freedom requires, and what still needs an argument.</w:t>
      </w:r>
    </w:p>
    <w:bookmarkEnd w:id="60"/>
    <w:bookmarkStart w:id="68" w:name="X5cf6334b3ce939cbfab1ad178142774ee506d70"/>
    <w:p>
      <w:pPr>
        <w:pStyle w:val="Heading3"/>
      </w:pPr>
      <w:r>
        <w:t xml:space="preserve">04</w:t>
      </w:r>
      <w:r>
        <w:t xml:space="preserve"> </w:t>
      </w:r>
      <w:r>
        <w:t xml:space="preserve">/</w:t>
      </w:r>
      <w:r>
        <w:t xml:space="preserve"> </w:t>
      </w:r>
      <w:r>
        <w:t xml:space="preserve">What follows from God's being underived, and does that establish divine simplicity?</w:t>
      </w:r>
      <w:r>
        <w:t xml:space="preserve">+</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61" w:name="the-premises-behind-this-answer"/>
    <w:p>
      <w:pPr>
        <w:pStyle w:val="Heading3"/>
      </w:pPr>
      <w:r>
        <w:t xml:space="preserve">The premises behind this answer</w:t>
      </w:r>
    </w:p>
    <w:bookmarkEnd w:id="61"/>
    <w:bookmarkStart w:id="65" w:name="constituents-as-grounds-of-a-whole"/>
    <w:p>
      <w:pPr>
        <w:pStyle w:val="Heading3"/>
      </w:pPr>
      <w:r>
        <w:t xml:space="preserve">Constituents as grounds of a whole</w:t>
      </w:r>
    </w:p>
    <w:p>
      <w:pPr>
        <w:pStyle w:val="FirstParagraph"/>
      </w:pPr>
      <w:r>
        <w:t xml:space="preserve">Uses underivation U and the composition–dependence bridge KD. It does not add the stronger claim of identical intrinsic actuality across alternatives.</w:t>
      </w:r>
    </w:p>
    <w:bookmarkStart w:id="62" w:name="adopt-these-premises"/>
    <w:p>
      <w:pPr>
        <w:pStyle w:val="Heading4"/>
      </w:pPr>
      <w:r>
        <w:t xml:space="preserve">Adopt these premises</w:t>
      </w:r>
    </w:p>
    <w:p>
      <w:pPr>
        <w:pStyle w:val="FirstParagraph"/>
      </w:pPr>
      <w:r>
        <w:rPr>
          <w:b/>
          <w:bCs/>
        </w:rPr>
        <w:t xml:space="preserve">1.</w:t>
      </w:r>
      <w:r>
        <w:t xml:space="preserve"> </w:t>
      </w:r>
      <w:r>
        <w:t xml:space="preserve">Absolute underivation excludes constitutive as well as efficient dependence in the actuality by which the source exists.</w:t>
      </w:r>
    </w:p>
    <w:p>
      <w:pPr>
        <w:pStyle w:val="BodyText"/>
      </w:pPr>
      <w:r>
        <w:rPr>
          <w:b/>
          <w:bCs/>
        </w:rPr>
        <w:t xml:space="preserve">2.</w:t>
      </w:r>
      <w:r>
        <w:t xml:space="preserve"> </w:t>
      </w:r>
      <w:r>
        <w:t xml:space="preserve">When intrinsic constituents make a whole the actual whole it is, its actuality is grounded in their contribution and unity.</w:t>
      </w:r>
    </w:p>
    <w:bookmarkEnd w:id="62"/>
    <w:bookmarkStart w:id="63" w:name="why-adopt-them"/>
    <w:p>
      <w:pPr>
        <w:pStyle w:val="Heading4"/>
      </w:pPr>
      <w:r>
        <w:t xml:space="preserve">Why adopt them?</w:t>
      </w:r>
    </w:p>
    <w:p>
      <w:pPr>
        <w:pStyle w:val="FirstParagraph"/>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bookmarkEnd w:id="63"/>
    <w:bookmarkStart w:id="64" w:name="what-follows-if-they-hold"/>
    <w:p>
      <w:pPr>
        <w:pStyle w:val="Heading4"/>
      </w:pPr>
      <w:r>
        <w:t xml:space="preserve">What follows if they hold?</w:t>
      </w:r>
    </w:p>
    <w:p>
      <w:pPr>
        <w:pStyle w:val="FirstParagraph"/>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rPr>
          <w:b/>
          <w:bCs/>
        </w:rPr>
        <w:t xml:space="preserve">What remains to defend.</w:t>
      </w:r>
      <w:r>
        <w:t xml:space="preserve"> </w:t>
      </w:r>
      <w:r>
        <w:t xml:space="preserve">A distinction is excluded only if it does the relevant constituting or actualizing work. Stronger attribute identity and intrinsic sameness across possibilities require further arguments.</w:t>
      </w:r>
    </w:p>
    <w:bookmarkEnd w:id="64"/>
    <w:bookmarkEnd w:id="65"/>
    <w:p>
      <w:pPr>
        <w:pStyle w:val="BodyText"/>
      </w:pPr>
      <w:hyperlink r:id="rId66">
        <w:r>
          <w:rPr>
            <w:rStyle w:val="Hyperlink"/>
          </w:rPr>
          <w:t xml:space="preserve">How far the simplicity argument reaches</w:t>
        </w:r>
      </w:hyperlink>
      <w:r>
        <w:t xml:space="preserve"> </w:t>
      </w:r>
      <w:r>
        <w:t xml:space="preserve">|</w:t>
      </w:r>
      <w:r>
        <w:t xml:space="preserve"> </w:t>
      </w:r>
      <w:hyperlink r:id="rId67">
        <w:r>
          <w:rPr>
            <w:rStyle w:val="Hyperlink"/>
          </w:rPr>
          <w:t xml:space="preserve">Distinct routes and additional premises</w:t>
        </w:r>
      </w:hyperlink>
    </w:p>
    <w:bookmarkEnd w:id="68"/>
    <w:bookmarkStart w:id="76" w:name="Xc12e64c97a16978881d4743915c465699f05d81"/>
    <w:p>
      <w:pPr>
        <w:pStyle w:val="Heading3"/>
      </w:pPr>
      <w:r>
        <w:t xml:space="preserve">05</w:t>
      </w:r>
      <w:r>
        <w:t xml:space="preserve"> </w:t>
      </w:r>
      <w:r>
        <w:t xml:space="preserve">/</w:t>
      </w:r>
      <w:r>
        <w:t xml:space="preserve"> </w:t>
      </w:r>
      <w:r>
        <w:t xml:space="preserve">If God is complete and inexhaustible, why would creation be contingent rather than necessary?</w:t>
      </w:r>
      <w:r>
        <w:t xml:space="preserve">+</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69" w:name="the-premises-behind-this-answer-1"/>
    <w:p>
      <w:pPr>
        <w:pStyle w:val="Heading3"/>
      </w:pPr>
      <w:r>
        <w:t xml:space="preserve">The premises behind this answer</w:t>
      </w:r>
    </w:p>
    <w:bookmarkEnd w:id="69"/>
    <w:bookmarkStart w:id="73" w:name="voluntary-action-and-complete-goodness"/>
    <w:p>
      <w:pPr>
        <w:pStyle w:val="Heading3"/>
      </w:pPr>
      <w:r>
        <w:t xml:space="preserve">Voluntary action and complete goodness</w:t>
      </w:r>
    </w:p>
    <w:p>
      <w:pPr>
        <w:pStyle w:val="FirstParagraph"/>
      </w:pPr>
      <w:r>
        <w:t xml:space="preserve">Adds rational agency, genuine modal alternatives, and voluntary action to divine completeness and non-exhaustion.</w:t>
      </w:r>
    </w:p>
    <w:bookmarkStart w:id="70" w:name="adopt-these-premises-1"/>
    <w:p>
      <w:pPr>
        <w:pStyle w:val="Heading4"/>
      </w:pPr>
      <w:r>
        <w:t xml:space="preserve">Adopt these premises</w:t>
      </w:r>
    </w:p>
    <w:p>
      <w:pPr>
        <w:pStyle w:val="FirstParagraph"/>
      </w:pPr>
      <w:r>
        <w:rPr>
          <w:b/>
          <w:bCs/>
        </w:rPr>
        <w:t xml:space="preserve">1.</w:t>
      </w:r>
      <w:r>
        <w:t xml:space="preserve"> </w:t>
      </w:r>
      <w:r>
        <w:t xml:space="preserve">The source is a rational agent whose goodness is complete independently of every finite created expression.</w:t>
      </w:r>
    </w:p>
    <w:p>
      <w:pPr>
        <w:pStyle w:val="BodyText"/>
      </w:pPr>
      <w:r>
        <w:rPr>
          <w:b/>
          <w:bCs/>
        </w:rPr>
        <w:t xml:space="preserve">2.</w:t>
      </w:r>
      <w:r>
        <w:t xml:space="preserve"> </w:t>
      </w:r>
      <w:r>
        <w:t xml:space="preserve">A rational agent's necessary orientation to its complete good need not necessitate a particular expression that neither constitutes that good nor is required for it.</w:t>
      </w:r>
    </w:p>
    <w:p>
      <w:pPr>
        <w:pStyle w:val="BodyText"/>
      </w:pPr>
      <w:r>
        <w:rPr>
          <w:b/>
          <w:bCs/>
        </w:rPr>
        <w:t xml:space="preserve">3.</w:t>
      </w:r>
      <w:r>
        <w:t xml:space="preserve"> </w:t>
      </w:r>
      <w:r>
        <w:t xml:space="preserve">Its active power genuinely extends to alternative fitting expressions and to refraining; these are metaphysical possibilities, rather than merely conceivable descriptions.</w:t>
      </w:r>
    </w:p>
    <w:p>
      <w:pPr>
        <w:pStyle w:val="BodyText"/>
      </w:pPr>
      <w:r>
        <w:rPr>
          <w:b/>
          <w:bCs/>
        </w:rPr>
        <w:t xml:space="preserve">4.</w:t>
      </w:r>
      <w:r>
        <w:t xml:space="preserve"> </w:t>
      </w:r>
      <w:r>
        <w:t xml:space="preserve">The agent actually determines its voluntary action for understood reasons; alternatives are not settled by an independent random or necessitating process.</w:t>
      </w:r>
    </w:p>
    <w:bookmarkEnd w:id="70"/>
    <w:bookmarkStart w:id="71" w:name="why-adopt-them-1"/>
    <w:p>
      <w:pPr>
        <w:pStyle w:val="Heading4"/>
      </w:pPr>
      <w:r>
        <w:t xml:space="preserve">Why adopt them?</w:t>
      </w:r>
    </w:p>
    <w:p>
      <w:pPr>
        <w:pStyle w:val="FirstParagraph"/>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bookmarkEnd w:id="71"/>
    <w:bookmarkStart w:id="72" w:name="what-follows-if-they-hold-1"/>
    <w:p>
      <w:pPr>
        <w:pStyle w:val="Heading4"/>
      </w:pPr>
      <w:r>
        <w:t xml:space="preserve">What follows if they hold?</w:t>
      </w:r>
    </w:p>
    <w:p>
      <w:pPr>
        <w:pStyle w:val="FirstParagraph"/>
      </w:pPr>
      <w:r>
        <w:t xml:space="preserve">Given those powers and alternatives, creation can be a voluntary expression of complete goodness, including a genuine possibility of no created expression.</w:t>
      </w:r>
    </w:p>
    <w:p>
      <w:pPr>
        <w:pStyle w:val="BodyText"/>
      </w:pPr>
      <w:r>
        <w:rPr>
          <w:b/>
          <w:bCs/>
        </w:rPr>
        <w:t xml:space="preserve">What remains to defend.</w:t>
      </w:r>
      <w:r>
        <w:t xml:space="preserve"> </w:t>
      </w:r>
      <w:r>
        <w:t xml:space="preserve">Rational agency, multi-outcome creative power, and actual voluntary choice are additional commitments. None follows from non-exhaustion alone.</w:t>
      </w:r>
    </w:p>
    <w:bookmarkEnd w:id="72"/>
    <w:bookmarkEnd w:id="73"/>
    <w:p>
      <w:pPr>
        <w:pStyle w:val="BodyText"/>
      </w:pPr>
      <w:hyperlink r:id="rId74">
        <w:r>
          <w:rPr>
            <w:rStyle w:val="Hyperlink"/>
          </w:rPr>
          <w:t xml:space="preserve">The necessary-emanation countermodel</w:t>
        </w:r>
      </w:hyperlink>
      <w:r>
        <w:t xml:space="preserve"> </w:t>
      </w:r>
      <w:r>
        <w:t xml:space="preserve">|</w:t>
      </w:r>
      <w:r>
        <w:t xml:space="preserve"> </w:t>
      </w:r>
      <w:hyperlink r:id="rId75">
        <w:r>
          <w:rPr>
            <w:rStyle w:val="Hyperlink"/>
          </w:rPr>
          <w:t xml:space="preserve">The earlier freedom test</w:t>
        </w:r>
      </w:hyperlink>
    </w:p>
    <w:bookmarkEnd w:id="76"/>
    <w:bookmarkStart w:id="85" w:name="X17035502c9d8ef15daeca7734b2630477ce5587"/>
    <w:p>
      <w:pPr>
        <w:pStyle w:val="Heading3"/>
      </w:pPr>
      <w:r>
        <w:t xml:space="preserve">06</w:t>
      </w:r>
      <w:r>
        <w:t xml:space="preserve"> </w:t>
      </w:r>
      <w:r>
        <w:t xml:space="preserve">/</w:t>
      </w:r>
      <w:r>
        <w:t xml:space="preserve"> </w:t>
      </w:r>
      <w:r>
        <w:t xml:space="preserve">What makes possible alternatives a free intelligent act rather than random branching?</w:t>
      </w:r>
      <w:r>
        <w:t xml:space="preserve">+</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77" w:name="the-premises-behind-this-answer-2"/>
    <w:p>
      <w:pPr>
        <w:pStyle w:val="Heading3"/>
      </w:pPr>
      <w:r>
        <w:t xml:space="preserve">The premises behind this answer</w:t>
      </w:r>
    </w:p>
    <w:bookmarkEnd w:id="77"/>
    <w:bookmarkStart w:id="81" w:name="reason-guided-control-of-actual-action"/>
    <w:p>
      <w:pPr>
        <w:pStyle w:val="Heading3"/>
      </w:pPr>
      <w:r>
        <w:t xml:space="preserve">Reason-guided control of actual action</w:t>
      </w:r>
    </w:p>
    <w:p>
      <w:pPr>
        <w:pStyle w:val="FirstParagraph"/>
      </w:pPr>
      <w:r>
        <w:t xml:space="preserve">Adds understanding, actual control, and successful intentional production to the modal alternatives.</w:t>
      </w:r>
    </w:p>
    <w:bookmarkStart w:id="78" w:name="adopt-these-premises-2"/>
    <w:p>
      <w:pPr>
        <w:pStyle w:val="Heading4"/>
      </w:pPr>
      <w:r>
        <w:t xml:space="preserve">Adopt these premises</w:t>
      </w:r>
    </w:p>
    <w:p>
      <w:pPr>
        <w:pStyle w:val="FirstParagraph"/>
      </w:pPr>
      <w:r>
        <w:rPr>
          <w:b/>
          <w:bCs/>
        </w:rPr>
        <w:t xml:space="preserve">1.</w:t>
      </w:r>
      <w:r>
        <w:t xml:space="preserve"> </w:t>
      </w:r>
      <w:r>
        <w:t xml:space="preserve">The agent understands live possibilities and reasons making an intended end fitting.</w:t>
      </w:r>
    </w:p>
    <w:p>
      <w:pPr>
        <w:pStyle w:val="BodyText"/>
      </w:pPr>
      <w:r>
        <w:rPr>
          <w:b/>
          <w:bCs/>
        </w:rPr>
        <w:t xml:space="preserve">2.</w:t>
      </w:r>
      <w:r>
        <w:t xml:space="preserve"> </w:t>
      </w:r>
      <w:r>
        <w:t xml:space="preserve">The agent actually controls its choice and action; a necessitating mechanism or accidental branching does not settle the outcome in its place.</w:t>
      </w:r>
    </w:p>
    <w:p>
      <w:pPr>
        <w:pStyle w:val="BodyText"/>
      </w:pPr>
      <w:r>
        <w:rPr>
          <w:b/>
          <w:bCs/>
        </w:rPr>
        <w:t xml:space="preserve">3.</w:t>
      </w:r>
      <w:r>
        <w:t xml:space="preserve"> </w:t>
      </w:r>
      <w:r>
        <w:t xml:space="preserve">The action effectively produces its intended result.</w:t>
      </w:r>
    </w:p>
    <w:bookmarkEnd w:id="78"/>
    <w:bookmarkStart w:id="79" w:name="why-adopt-them-2"/>
    <w:p>
      <w:pPr>
        <w:pStyle w:val="Heading4"/>
      </w:pPr>
      <w:r>
        <w:t xml:space="preserve">Why adopt them?</w:t>
      </w:r>
    </w:p>
    <w:p>
      <w:pPr>
        <w:pStyle w:val="FirstParagraph"/>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bookmarkEnd w:id="79"/>
    <w:bookmarkStart w:id="80" w:name="what-follows-if-they-hold-2"/>
    <w:p>
      <w:pPr>
        <w:pStyle w:val="Heading4"/>
      </w:pPr>
      <w:r>
        <w:t xml:space="preserve">What follows if they hold?</w:t>
      </w:r>
    </w:p>
    <w:p>
      <w:pPr>
        <w:pStyle w:val="FirstParagraph"/>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rPr>
          <w:b/>
          <w:bCs/>
        </w:rPr>
        <w:t xml:space="preserve">What remains to defend.</w:t>
      </w:r>
      <w:r>
        <w:t xml:space="preserve"> </w:t>
      </w:r>
      <w:r>
        <w:t xml:space="preserve">This is a positive account of irreducible voluntary agency. Its application to God, and its compatibility with stronger divine simplicity, require independent defense.</w:t>
      </w:r>
    </w:p>
    <w:bookmarkEnd w:id="80"/>
    <w:bookmarkEnd w:id="81"/>
    <w:p>
      <w:pPr>
        <w:pStyle w:val="BodyText"/>
      </w:pPr>
      <w:hyperlink r:id="rId82">
        <w:r>
          <w:rPr>
            <w:rStyle w:val="Hyperlink"/>
          </w:rPr>
          <w:t xml:space="preserve">Why branching is not authorship</w:t>
        </w:r>
      </w:hyperlink>
      <w:r>
        <w:t xml:space="preserve"> </w:t>
      </w:r>
      <w:r>
        <w:t xml:space="preserve">|</w:t>
      </w:r>
      <w:r>
        <w:t xml:space="preserve"> </w:t>
      </w:r>
      <w:hyperlink r:id="rId83">
        <w:r>
          <w:rPr>
            <w:rStyle w:val="Hyperlink"/>
          </w:rPr>
          <w:t xml:space="preserve">The problem of determinate intention</w:t>
        </w:r>
      </w:hyperlink>
      <w:r>
        <w:t xml:space="preserve"> </w:t>
      </w:r>
      <w:r>
        <w:t xml:space="preserve">|</w:t>
      </w:r>
      <w:r>
        <w:t xml:space="preserve"> </w:t>
      </w:r>
      <w:hyperlink r:id="rId84">
        <w:r>
          <w:rPr>
            <w:rStyle w:val="Hyperlink"/>
          </w:rPr>
          <w:t xml:space="preserve">Divine agency and actual action</w:t>
        </w:r>
      </w:hyperlink>
    </w:p>
    <w:bookmarkEnd w:id="85"/>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11 / SOURCES</w:t>
      </w:r>
    </w:p>
    <w:bookmarkStart w:id="86" w:name="every-claim-has-an-evidence-status."/>
    <w:p>
      <w:pPr>
        <w:pStyle w:val="Heading2"/>
      </w:pPr>
      <w:r>
        <w:t xml:space="preserve">Every claim has an evidence status.</w:t>
      </w:r>
    </w:p>
    <w:p>
      <w:pPr>
        <w:pStyle w:val="FirstParagraph"/>
      </w:pPr>
      <w:r>
        <w:t xml:space="preserve">Current specialist entries and selected primary passages were inspected. Previously consulted witnesses are distinguished from critical editions and monographs still awaiting direct examination.</w:t>
      </w:r>
    </w:p>
    <w:bookmarkEnd w:id="86"/>
    <w:p>
      <w:pPr>
        <w:pStyle w:val="BodyText"/>
      </w:pPr>
      <w:r>
        <w:t xml:space="preserve">Claim-level source ledger</w:t>
      </w:r>
    </w:p>
    <w:p>
      <w:pPr>
        <w:pStyle w:val="BodyText"/>
      </w:pPr>
      <w:r>
        <w:t xml:space="preserve">Input audit: the existing Part I reports and actual source texts supplied the starting material. No separate report titled “The Minimal Bridges from Participation to Simplicity and Freedom” was supplied or presumed consulted.</w:t>
      </w:r>
    </w:p>
    <w:p>
      <w:pPr>
        <w:pStyle w:val="BodyText"/>
      </w:pPr>
      <w:r>
        <w:t xml:space="preserve">Consulted / reused primary witness</w:t>
      </w:r>
    </w:p>
    <w:bookmarkStart w:id="88" w:name="aquinas-constitutiondependence"/>
    <w:p>
      <w:pPr>
        <w:pStyle w:val="Heading3"/>
      </w:pPr>
      <w:r>
        <w:t xml:space="preserve">Aquinas: constitution–dependence</w:t>
      </w:r>
    </w:p>
    <w:p>
      <w:pPr>
        <w:pStyle w:val="FirstParagraph"/>
      </w:pPr>
      <w:r>
        <w:t xml:space="preserve">ST I q.3 a.7, answer</w:t>
      </w:r>
    </w:p>
    <w:p>
      <w:pPr>
        <w:pStyle w:val="BodyText"/>
      </w:pPr>
      <w:r>
        <w:t xml:space="preserve">English Dominican Fathers, Complete American Edition; Gutenberg #17611 mirror.</w:t>
      </w:r>
    </w:p>
    <w:p>
      <w:pPr>
        <w:pStyle w:val="BodyText"/>
      </w:pPr>
      <w:r>
        <w:rPr>
          <w:b/>
          <w:bCs/>
        </w:rPr>
        <w:t xml:space="preserve">Claim:</w:t>
      </w:r>
      <w:r>
        <w:t xml:space="preserve"> </w:t>
      </w:r>
      <w:r>
        <w:t xml:space="preserve">Every composite is posterior to and dependent on its components.</w:t>
      </w:r>
    </w:p>
    <w:p>
      <w:pPr>
        <w:pStyle w:val="BodyText"/>
      </w:pPr>
      <w:r>
        <w:rPr>
          <w:b/>
          <w:bCs/>
        </w:rPr>
        <w:t xml:space="preserve">Actually establishes:</w:t>
      </w:r>
      <w:r>
        <w:t xml:space="preserve"> </w:t>
      </w:r>
      <w:r>
        <w:t xml:space="preserve">An explicit argument within Aquinas’s broader first-being and act/potency framework.</w:t>
      </w:r>
    </w:p>
    <w:p>
      <w:pPr>
        <w:pStyle w:val="BodyText"/>
      </w:pPr>
      <w:r>
        <w:rPr>
          <w:b/>
          <w:bCs/>
        </w:rPr>
        <w:t xml:space="preserve">Constructive use:</w:t>
      </w:r>
      <w:r>
        <w:t xml:space="preserve"> </w:t>
      </w:r>
      <w:r>
        <w:t xml:space="preserve">KD is retrieved as a separately defended bridge; its universal truth is not established by attribution.</w:t>
      </w:r>
    </w:p>
    <w:p>
      <w:pPr>
        <w:pStyle w:val="BodyText"/>
      </w:pPr>
      <w:hyperlink r:id="rId87">
        <w:r>
          <w:rPr>
            <w:rStyle w:val="Hyperlink"/>
          </w:rPr>
          <w:t xml:space="preserve">Inspect evidence / qualification →</w:t>
        </w:r>
      </w:hyperlink>
    </w:p>
    <w:p>
      <w:pPr>
        <w:pStyle w:val="BodyText"/>
      </w:pPr>
      <w:r>
        <w:t xml:space="preserve">Consulted / reused primary witness</w:t>
      </w:r>
    </w:p>
    <w:bookmarkEnd w:id="88"/>
    <w:bookmarkStart w:id="89" w:name="X375cd6e2e84b18fff4bb7396aa493e995e9b801"/>
    <w:p>
      <w:pPr>
        <w:pStyle w:val="Heading3"/>
      </w:pPr>
      <w:r>
        <w:t xml:space="preserve">Aquinas: plenitude and optional communication</w:t>
      </w:r>
    </w:p>
    <w:p>
      <w:pPr>
        <w:pStyle w:val="FirstParagraph"/>
      </w:pPr>
      <w:r>
        <w:t xml:space="preserve">ST I q.19 aa.2–3, especially a.3 answer and ad5</w:t>
      </w:r>
    </w:p>
    <w:p>
      <w:pPr>
        <w:pStyle w:val="BodyText"/>
      </w:pPr>
      <w:r>
        <w:t xml:space="preserve">Same inspected primary translation.</w:t>
      </w:r>
    </w:p>
    <w:p>
      <w:pPr>
        <w:pStyle w:val="BodyText"/>
      </w:pPr>
      <w:r>
        <w:rPr>
          <w:b/>
          <w:bCs/>
        </w:rPr>
        <w:t xml:space="preserve">Claim:</w:t>
      </w:r>
      <w:r>
        <w:t xml:space="preserve"> </w:t>
      </w:r>
      <w:r>
        <w:t xml:space="preserve">Necessary orientation to divine goodness need not necessitate things ordered to it; divine will determines itself.</w:t>
      </w:r>
    </w:p>
    <w:p>
      <w:pPr>
        <w:pStyle w:val="BodyText"/>
      </w:pPr>
      <w:r>
        <w:rPr>
          <w:b/>
          <w:bCs/>
        </w:rPr>
        <w:t xml:space="preserve">Actually establishes:</w:t>
      </w:r>
      <w:r>
        <w:t xml:space="preserve"> </w:t>
      </w:r>
      <w:r>
        <w:t xml:space="preserve">A rational-volitional argument and explicit self-determination claim, stronger than non-exhaustion alone.</w:t>
      </w:r>
    </w:p>
    <w:p>
      <w:pPr>
        <w:pStyle w:val="BodyText"/>
      </w:pPr>
      <w:r>
        <w:rPr>
          <w:b/>
          <w:bCs/>
        </w:rPr>
        <w:t xml:space="preserve">Constructive use:</w:t>
      </w:r>
      <w:r>
        <w:t xml:space="preserve"> </w:t>
      </w:r>
      <w:r>
        <w:t xml:space="preserve">Candidate warrant for gift-oriented specification; voluntariness and alternatives remain independently assessed.</w:t>
      </w:r>
    </w:p>
    <w:p>
      <w:pPr>
        <w:pStyle w:val="BodyText"/>
      </w:pPr>
      <w:hyperlink r:id="rId87">
        <w:r>
          <w:rPr>
            <w:rStyle w:val="Hyperlink"/>
          </w:rPr>
          <w:t xml:space="preserve">Inspect evidence / qualification →</w:t>
        </w:r>
      </w:hyperlink>
    </w:p>
    <w:p>
      <w:pPr>
        <w:pStyle w:val="BodyText"/>
      </w:pPr>
      <w:r>
        <w:t xml:space="preserve">Consulted / reused primary witness</w:t>
      </w:r>
    </w:p>
    <w:bookmarkEnd w:id="89"/>
    <w:bookmarkStart w:id="90" w:name="aquinas-knowing-through-self-as-cause"/>
    <w:p>
      <w:pPr>
        <w:pStyle w:val="Heading3"/>
      </w:pPr>
      <w:r>
        <w:t xml:space="preserve">Aquinas: knowing through self as cause</w:t>
      </w:r>
    </w:p>
    <w:p>
      <w:pPr>
        <w:pStyle w:val="FirstParagraph"/>
      </w:pPr>
      <w:r>
        <w:t xml:space="preserve">ST I q.14 aa.5, 8; q.19 a.3 ad6</w:t>
      </w:r>
    </w:p>
    <w:p>
      <w:pPr>
        <w:pStyle w:val="BodyText"/>
      </w:pPr>
      <w:r>
        <w:t xml:space="preserve">Same inspected primary translation.</w:t>
      </w:r>
    </w:p>
    <w:p>
      <w:pPr>
        <w:pStyle w:val="BodyText"/>
      </w:pPr>
      <w:r>
        <w:rPr>
          <w:b/>
          <w:bCs/>
        </w:rPr>
        <w:t xml:space="preserve">Claim:</w:t>
      </w:r>
      <w:r>
        <w:t xml:space="preserve"> </w:t>
      </w:r>
      <w:r>
        <w:t xml:space="preserve">Knowledge is causally productive insofar as joined to will; futurity entails being known without causing divine cognition.</w:t>
      </w:r>
    </w:p>
    <w:p>
      <w:pPr>
        <w:pStyle w:val="BodyText"/>
      </w:pPr>
      <w:r>
        <w:rPr>
          <w:b/>
          <w:bCs/>
        </w:rPr>
        <w:t xml:space="preserve">Actually establishes:</w:t>
      </w:r>
      <w:r>
        <w:t xml:space="preserve"> </w:t>
      </w:r>
      <w:r>
        <w:t xml:space="preserve">Distinctions among intelligible content, actual production, and epistemic/causal direction.</w:t>
      </w:r>
    </w:p>
    <w:p>
      <w:pPr>
        <w:pStyle w:val="BodyText"/>
      </w:pPr>
      <w:r>
        <w:rPr>
          <w:b/>
          <w:bCs/>
        </w:rPr>
        <w:t xml:space="preserve">Constructive use:</w:t>
      </w:r>
      <w:r>
        <w:t xml:space="preserve"> </w:t>
      </w:r>
      <w:r>
        <w:t xml:space="preserve">Supports the proposed direction; does not alone prove awareness of one’s own contingent intentional action.</w:t>
      </w:r>
    </w:p>
    <w:p>
      <w:pPr>
        <w:pStyle w:val="BodyText"/>
      </w:pPr>
      <w:hyperlink r:id="rId87">
        <w:r>
          <w:rPr>
            <w:rStyle w:val="Hyperlink"/>
          </w:rPr>
          <w:t xml:space="preserve">Inspect evidence / qualification →</w:t>
        </w:r>
      </w:hyperlink>
    </w:p>
    <w:p>
      <w:pPr>
        <w:pStyle w:val="BodyText"/>
      </w:pPr>
      <w:r>
        <w:t xml:space="preserve">Consulted specialist source</w:t>
      </w:r>
    </w:p>
    <w:bookmarkEnd w:id="90"/>
    <w:bookmarkStart w:id="92" w:name="thomas-williams-john-duns-scotus"/>
    <w:p>
      <w:pPr>
        <w:pStyle w:val="Heading3"/>
      </w:pPr>
      <w:r>
        <w:t xml:space="preserve">Thomas Williams: John Duns Scotus</w:t>
      </w:r>
    </w:p>
    <w:p>
      <w:pPr>
        <w:pStyle w:val="FirstParagraph"/>
      </w:pPr>
      <w:r>
        <w:t xml:space="preserve">SEP §5.2; also §4.2 for intuitive cognition</w:t>
      </w:r>
    </w:p>
    <w:p>
      <w:pPr>
        <w:pStyle w:val="BodyText"/>
      </w:pPr>
      <w:r>
        <w:t xml:space="preserve">Current publisher entry, substantive revision 15 December 2025; inspected.</w:t>
      </w:r>
    </w:p>
    <w:p>
      <w:pPr>
        <w:pStyle w:val="BodyText"/>
      </w:pPr>
      <w:r>
        <w:rPr>
          <w:b/>
          <w:bCs/>
        </w:rPr>
        <w:t xml:space="preserve">Claim:</w:t>
      </w:r>
      <w:r>
        <w:t xml:space="preserve"> </w:t>
      </w:r>
      <w:r>
        <w:t xml:space="preserve">Synchronic alternatives and will-centered freedom; actual-act cognition differs from abstract capacity cognition.</w:t>
      </w:r>
    </w:p>
    <w:p>
      <w:pPr>
        <w:pStyle w:val="BodyText"/>
      </w:pPr>
      <w:r>
        <w:rPr>
          <w:b/>
          <w:bCs/>
        </w:rPr>
        <w:t xml:space="preserve">Actually establishes:</w:t>
      </w:r>
      <w:r>
        <w:t xml:space="preserve"> </w:t>
      </w:r>
      <w:r>
        <w:t xml:space="preserve">A specialist reconstruction with Dumont/MacDonald and Cross references.</w:t>
      </w:r>
    </w:p>
    <w:p>
      <w:pPr>
        <w:pStyle w:val="BodyText"/>
      </w:pPr>
      <w:r>
        <w:rPr>
          <w:b/>
          <w:bCs/>
        </w:rPr>
        <w:t xml:space="preserve">Constructive use:</w:t>
      </w:r>
      <w:r>
        <w:t xml:space="preserve"> </w:t>
      </w:r>
      <w:r>
        <w:t xml:space="preserve">Modal and epistemic resources, with its interpretation of the Aquinas contrast retained as interpretation.</w:t>
      </w:r>
    </w:p>
    <w:p>
      <w:pPr>
        <w:pStyle w:val="BodyText"/>
      </w:pPr>
      <w:hyperlink r:id="rId91">
        <w:r>
          <w:rPr>
            <w:rStyle w:val="Hyperlink"/>
          </w:rPr>
          <w:t xml:space="preserve">Inspect evidence / qualification →</w:t>
        </w:r>
      </w:hyperlink>
    </w:p>
    <w:p>
      <w:pPr>
        <w:pStyle w:val="BodyText"/>
      </w:pPr>
      <w:r>
        <w:t xml:space="preserve">Consulted specialist source</w:t>
      </w:r>
    </w:p>
    <w:bookmarkEnd w:id="92"/>
    <w:bookmarkStart w:id="94" w:name="thomas-williams-anselm-of-canterbury"/>
    <w:p>
      <w:pPr>
        <w:pStyle w:val="Heading3"/>
      </w:pPr>
      <w:r>
        <w:t xml:space="preserve">Thomas Williams: Anselm of Canterbury</w:t>
      </w:r>
    </w:p>
    <w:p>
      <w:pPr>
        <w:pStyle w:val="FirstParagraph"/>
      </w:pPr>
      <w:r>
        <w:t xml:space="preserve">SEP §§4.1–4.2; DLA 3, DV 12</w:t>
      </w:r>
    </w:p>
    <w:p>
      <w:pPr>
        <w:pStyle w:val="BodyText"/>
      </w:pPr>
      <w:r>
        <w:t xml:space="preserve">Publisher entry, substantive revision 16 July 2023; inspected.</w:t>
      </w:r>
    </w:p>
    <w:p>
      <w:pPr>
        <w:pStyle w:val="BodyText"/>
      </w:pPr>
      <w:r>
        <w:rPr>
          <w:b/>
          <w:bCs/>
        </w:rPr>
        <w:t xml:space="preserve">Claim:</w:t>
      </w:r>
      <w:r>
        <w:t xml:space="preserve"> </w:t>
      </w:r>
      <w:r>
        <w:t xml:space="preserve">Freedom is rational rectitude for its own sake; inability to sin can coexist with freedom.</w:t>
      </w:r>
    </w:p>
    <w:p>
      <w:pPr>
        <w:pStyle w:val="BodyText"/>
      </w:pPr>
      <w:r>
        <w:rPr>
          <w:b/>
          <w:bCs/>
        </w:rPr>
        <w:t xml:space="preserve">Actually establishes:</w:t>
      </w:r>
      <w:r>
        <w:t xml:space="preserve"> </w:t>
      </w:r>
      <w:r>
        <w:t xml:space="preserve">Anselm’s moral freedom account, with exact primary references.</w:t>
      </w:r>
    </w:p>
    <w:p>
      <w:pPr>
        <w:pStyle w:val="BodyText"/>
      </w:pPr>
      <w:r>
        <w:rPr>
          <w:b/>
          <w:bCs/>
        </w:rPr>
        <w:t xml:space="preserve">Constructive use:</w:t>
      </w:r>
      <w:r>
        <w:t xml:space="preserve"> </w:t>
      </w:r>
      <w:r>
        <w:t xml:space="preserve">Separates rational excellence from a lottery. Direct DLA/DV edition collation remains an additional source task.</w:t>
      </w:r>
    </w:p>
    <w:p>
      <w:pPr>
        <w:pStyle w:val="BodyText"/>
      </w:pPr>
      <w:hyperlink r:id="rId93">
        <w:r>
          <w:rPr>
            <w:rStyle w:val="Hyperlink"/>
          </w:rPr>
          <w:t xml:space="preserve">Inspect evidence / qualification →</w:t>
        </w:r>
      </w:hyperlink>
    </w:p>
    <w:p>
      <w:pPr>
        <w:pStyle w:val="BodyText"/>
      </w:pPr>
      <w:r>
        <w:t xml:space="preserve">Consulted specialist source</w:t>
      </w:r>
    </w:p>
    <w:bookmarkEnd w:id="94"/>
    <w:bookmarkStart w:id="96" w:name="william-f.-vallicella-divine-simplicity"/>
    <w:p>
      <w:pPr>
        <w:pStyle w:val="Heading3"/>
      </w:pPr>
      <w:r>
        <w:t xml:space="preserve">William F. Vallicella: Divine Simplicity</w:t>
      </w:r>
    </w:p>
    <w:p>
      <w:pPr>
        <w:pStyle w:val="FirstParagraph"/>
      </w:pPr>
      <w:r>
        <w:t xml:space="preserve">SEP §§6–7; truthmaker models and modal collapse</w:t>
      </w:r>
    </w:p>
    <w:p>
      <w:pPr>
        <w:pStyle w:val="BodyText"/>
      </w:pPr>
      <w:r>
        <w:t xml:space="preserve">Current publisher text, copyright 2023; selected sections inspected.</w:t>
      </w:r>
    </w:p>
    <w:p>
      <w:pPr>
        <w:pStyle w:val="BodyText"/>
      </w:pPr>
      <w:r>
        <w:rPr>
          <w:b/>
          <w:bCs/>
        </w:rPr>
        <w:t xml:space="preserve">Claim:</w:t>
      </w:r>
      <w:r>
        <w:t xml:space="preserve"> </w:t>
      </w:r>
      <w:r>
        <w:t xml:space="preserve">Contingent knowledge and necessary divine act create distinct tensions; externalist alternatives are debated.</w:t>
      </w:r>
    </w:p>
    <w:p>
      <w:pPr>
        <w:pStyle w:val="BodyText"/>
      </w:pPr>
      <w:r>
        <w:rPr>
          <w:b/>
          <w:bCs/>
        </w:rPr>
        <w:t xml:space="preserve">Actually establishes:</w:t>
      </w:r>
      <w:r>
        <w:t xml:space="preserve"> </w:t>
      </w:r>
      <w:r>
        <w:t xml:space="preserve">A substantive adversarial survey, including Brower/Grant disagreements.</w:t>
      </w:r>
    </w:p>
    <w:p>
      <w:pPr>
        <w:pStyle w:val="BodyText"/>
      </w:pPr>
      <w:r>
        <w:rPr>
          <w:b/>
          <w:bCs/>
        </w:rPr>
        <w:t xml:space="preserve">Constructive use:</w:t>
      </w:r>
      <w:r>
        <w:t xml:space="preserve"> </w:t>
      </w:r>
      <w:r>
        <w:t xml:space="preserve">The new exercise model is tested against these objections; no assertion that every critic or defender is refuted.</w:t>
      </w:r>
    </w:p>
    <w:p>
      <w:pPr>
        <w:pStyle w:val="BodyText"/>
      </w:pPr>
      <w:hyperlink r:id="rId95">
        <w:r>
          <w:rPr>
            <w:rStyle w:val="Hyperlink"/>
          </w:rPr>
          <w:t xml:space="preserve">Inspect evidence / qualification →</w:t>
        </w:r>
      </w:hyperlink>
    </w:p>
    <w:p>
      <w:pPr>
        <w:pStyle w:val="BodyText"/>
      </w:pPr>
      <w:r>
        <w:t xml:space="preserve">Consulted specialist source</w:t>
      </w:r>
    </w:p>
    <w:bookmarkEnd w:id="96"/>
    <w:bookmarkStart w:id="98" w:name="edward-wierenga-omniscience"/>
    <w:p>
      <w:pPr>
        <w:pStyle w:val="Heading3"/>
      </w:pPr>
      <w:r>
        <w:t xml:space="preserve">Edward Wierenga: Omniscience</w:t>
      </w:r>
    </w:p>
    <w:p>
      <w:pPr>
        <w:pStyle w:val="FirstParagraph"/>
      </w:pPr>
      <w:r>
        <w:t xml:space="preserve">SEP §§1–3</w:t>
      </w:r>
    </w:p>
    <w:p>
      <w:pPr>
        <w:pStyle w:val="BodyText"/>
      </w:pPr>
      <w:r>
        <w:t xml:space="preserve">Publisher entry, substantive revision 10 May 2025; selected discussions inspected.</w:t>
      </w:r>
    </w:p>
    <w:p>
      <w:pPr>
        <w:pStyle w:val="BodyText"/>
      </w:pPr>
      <w:r>
        <w:rPr>
          <w:b/>
          <w:bCs/>
        </w:rPr>
        <w:t xml:space="preserve">Claim:</w:t>
      </w:r>
      <w:r>
        <w:t xml:space="preserve"> </w:t>
      </w:r>
      <w:r>
        <w:t xml:space="preserve">Complete knowledge, non-discursivity, and foreknowledge/free-action are separable questions.</w:t>
      </w:r>
    </w:p>
    <w:p>
      <w:pPr>
        <w:pStyle w:val="BodyText"/>
      </w:pPr>
      <w:r>
        <w:rPr>
          <w:b/>
          <w:bCs/>
        </w:rPr>
        <w:t xml:space="preserve">Actually establishes:</w:t>
      </w:r>
      <w:r>
        <w:t xml:space="preserve"> </w:t>
      </w:r>
      <w:r>
        <w:t xml:space="preserve">Definitions and competing accounts of cognitive adequacy.</w:t>
      </w:r>
    </w:p>
    <w:p>
      <w:pPr>
        <w:pStyle w:val="BodyText"/>
      </w:pPr>
      <w:r>
        <w:rPr>
          <w:b/>
          <w:bCs/>
        </w:rPr>
        <w:t xml:space="preserve">Constructive use:</w:t>
      </w:r>
      <w:r>
        <w:t xml:space="preserve"> </w:t>
      </w:r>
      <w:r>
        <w:t xml:space="preserve">Prevents the scoped productive-knowledge proposal from being mislabeled demonstrated omniscience.</w:t>
      </w:r>
    </w:p>
    <w:p>
      <w:pPr>
        <w:pStyle w:val="BodyText"/>
      </w:pPr>
      <w:hyperlink r:id="rId97">
        <w:r>
          <w:rPr>
            <w:rStyle w:val="Hyperlink"/>
          </w:rPr>
          <w:t xml:space="preserve">Inspect evidence / qualification →</w:t>
        </w:r>
      </w:hyperlink>
    </w:p>
    <w:p>
      <w:pPr>
        <w:pStyle w:val="BodyText"/>
      </w:pPr>
      <w:r>
        <w:t xml:space="preserve">Consulted / reused primary witness</w:t>
      </w:r>
    </w:p>
    <w:bookmarkEnd w:id="98"/>
    <w:bookmarkStart w:id="100" w:name="augustine-city-of-god"/>
    <w:p>
      <w:pPr>
        <w:pStyle w:val="Heading3"/>
      </w:pPr>
      <w:r>
        <w:t xml:space="preserve">Augustine: City of God</w:t>
      </w:r>
    </w:p>
    <w:p>
      <w:pPr>
        <w:pStyle w:val="FirstParagraph"/>
      </w:pPr>
      <w:r>
        <w:t xml:space="preserve">XI.10 and XI.21</w:t>
      </w:r>
    </w:p>
    <w:p>
      <w:pPr>
        <w:pStyle w:val="BodyText"/>
      </w:pPr>
      <w:r>
        <w:t xml:space="preserve">Marcus Dods translation; consulted project primary witness, XI.21 rechecked for this inquiry.</w:t>
      </w:r>
    </w:p>
    <w:p>
      <w:pPr>
        <w:pStyle w:val="BodyText"/>
      </w:pPr>
      <w:r>
        <w:rPr>
          <w:b/>
          <w:bCs/>
        </w:rPr>
        <w:t xml:space="preserve">Claim:</w:t>
      </w:r>
      <w:r>
        <w:t xml:space="preserve"> </w:t>
      </w:r>
      <w:r>
        <w:t xml:space="preserve">Divine wisdom is not acquired; created actuality does not add cognition to immutable knowledge.</w:t>
      </w:r>
    </w:p>
    <w:p>
      <w:pPr>
        <w:pStyle w:val="BodyText"/>
      </w:pPr>
      <w:r>
        <w:rPr>
          <w:b/>
          <w:bCs/>
        </w:rPr>
        <w:t xml:space="preserve">Actually establishes:</w:t>
      </w:r>
      <w:r>
        <w:t xml:space="preserve"> </w:t>
      </w:r>
      <w:r>
        <w:t xml:space="preserve">An explicit non-reception witness in Augustine’s theology.</w:t>
      </w:r>
    </w:p>
    <w:p>
      <w:pPr>
        <w:pStyle w:val="BodyText"/>
      </w:pPr>
      <w:r>
        <w:rPr>
          <w:b/>
          <w:bCs/>
        </w:rPr>
        <w:t xml:space="preserve">Constructive use:</w:t>
      </w:r>
      <w:r>
        <w:t xml:space="preserve"> </w:t>
      </w:r>
      <w:r>
        <w:t xml:space="preserve">Does not itself derive knowledge of the actual action from the minimal source profile.</w:t>
      </w:r>
    </w:p>
    <w:p>
      <w:pPr>
        <w:pStyle w:val="BodyText"/>
      </w:pPr>
      <w:hyperlink r:id="rId99">
        <w:r>
          <w:rPr>
            <w:rStyle w:val="Hyperlink"/>
          </w:rPr>
          <w:t xml:space="preserve">Inspect evidence / qualification →</w:t>
        </w:r>
      </w:hyperlink>
    </w:p>
    <w:p>
      <w:pPr>
        <w:pStyle w:val="BodyText"/>
      </w:pPr>
      <w:r>
        <w:t xml:space="preserve">Consulted / reused primary witness</w:t>
      </w:r>
    </w:p>
    <w:bookmarkEnd w:id="100"/>
    <w:bookmarkStart w:id="102" w:name="X32c73d739c177e8891a314326e92b7c1c2b6c66"/>
    <w:p>
      <w:pPr>
        <w:pStyle w:val="Heading3"/>
      </w:pPr>
      <w:r>
        <w:t xml:space="preserve">Dionysius / Maximus: digital Greek witnesses</w:t>
      </w:r>
    </w:p>
    <w:p>
      <w:pPr>
        <w:pStyle w:val="FirstParagraph"/>
      </w:pPr>
      <w:r>
        <w:t xml:space="preserve">DN II.5, V.8; Ambiguum 7, PG 91 1077–1081</w:t>
      </w:r>
    </w:p>
    <w:p>
      <w:pPr>
        <w:pStyle w:val="BodyText"/>
      </w:pPr>
      <w:r>
        <w:t xml:space="preserve">Earlier project consultation: academic unproofread PG OCR and provisional Ambigua transcription.</w:t>
      </w:r>
    </w:p>
    <w:p>
      <w:pPr>
        <w:pStyle w:val="BodyText"/>
      </w:pPr>
      <w:r>
        <w:rPr>
          <w:b/>
          <w:bCs/>
        </w:rPr>
        <w:t xml:space="preserve">Claim:</w:t>
      </w:r>
      <w:r>
        <w:t xml:space="preserve"> </w:t>
      </w:r>
      <w:r>
        <w:t xml:space="preserve">Nonpartition; unified logoi; known principles differ from created actualization.</w:t>
      </w:r>
    </w:p>
    <w:p>
      <w:pPr>
        <w:pStyle w:val="BodyText"/>
      </w:pPr>
      <w:r>
        <w:rPr>
          <w:b/>
          <w:bCs/>
        </w:rPr>
        <w:t xml:space="preserve">Actually establishes:</w:t>
      </w:r>
      <w:r>
        <w:t xml:space="preserve"> </w:t>
      </w:r>
      <w:r>
        <w:t xml:space="preserve">Bounded textual support with edition/provenance qualifications.</w:t>
      </w:r>
    </w:p>
    <w:p>
      <w:pPr>
        <w:pStyle w:val="BodyText"/>
      </w:pPr>
      <w:r>
        <w:rPr>
          <w:b/>
          <w:bCs/>
        </w:rPr>
        <w:t xml:space="preserve">Constructive use:</w:t>
      </w:r>
      <w:r>
        <w:t xml:space="preserve"> </w:t>
      </w:r>
      <w:r>
        <w:t xml:space="preserve">Constructive retrieval, not attribution of the proposed account of agency or new modal semantics.</w:t>
      </w:r>
    </w:p>
    <w:p>
      <w:pPr>
        <w:pStyle w:val="BodyText"/>
      </w:pPr>
      <w:hyperlink r:id="rId101">
        <w:r>
          <w:rPr>
            <w:rStyle w:val="Hyperlink"/>
          </w:rPr>
          <w:t xml:space="preserve">Inspect evidence / qualification →</w:t>
        </w:r>
      </w:hyperlink>
    </w:p>
    <w:p>
      <w:pPr>
        <w:pStyle w:val="BodyText"/>
      </w:pPr>
      <w:r>
        <w:t xml:space="preserve">Consulted / reused primary witness</w:t>
      </w:r>
    </w:p>
    <w:bookmarkEnd w:id="102"/>
    <w:bookmarkStart w:id="104" w:name="newman-essay-on-development"/>
    <w:p>
      <w:pPr>
        <w:pStyle w:val="Heading3"/>
      </w:pPr>
      <w:r>
        <w:t xml:space="preserve">Newman: Essay on Development</w:t>
      </w:r>
    </w:p>
    <w:p>
      <w:pPr>
        <w:pStyle w:val="FirstParagraph"/>
      </w:pPr>
      <w:r>
        <w:t xml:space="preserve">Chapter V, opening §4 and §§I–VII</w:t>
      </w:r>
    </w:p>
    <w:p>
      <w:pPr>
        <w:pStyle w:val="BodyText"/>
      </w:pPr>
      <w:r>
        <w:t xml:space="preserve">Gutenberg #35110 mirror; chapter V inspected in the project.</w:t>
      </w:r>
    </w:p>
    <w:p>
      <w:pPr>
        <w:pStyle w:val="BodyText"/>
      </w:pPr>
      <w:r>
        <w:rPr>
          <w:b/>
          <w:bCs/>
        </w:rPr>
        <w:t xml:space="preserve">Claim:</w:t>
      </w:r>
      <w:r>
        <w:t xml:space="preserve"> </w:t>
      </w:r>
      <w:r>
        <w:t xml:space="preserve">Seven notes of genuine development have differing cogency and applicability.</w:t>
      </w:r>
    </w:p>
    <w:p>
      <w:pPr>
        <w:pStyle w:val="BodyText"/>
      </w:pPr>
      <w:r>
        <w:rPr>
          <w:b/>
          <w:bCs/>
        </w:rPr>
        <w:t xml:space="preserve">Actually establishes:</w:t>
      </w:r>
      <w:r>
        <w:t xml:space="preserve"> </w:t>
      </w:r>
      <w:r>
        <w:t xml:space="preserve">An actual methodological source; seventh note is chronic vigour.</w:t>
      </w:r>
    </w:p>
    <w:p>
      <w:pPr>
        <w:pStyle w:val="BodyText"/>
      </w:pPr>
      <w:r>
        <w:rPr>
          <w:b/>
          <w:bCs/>
        </w:rPr>
        <w:t xml:space="preserve">Constructive use:</w:t>
      </w:r>
      <w:r>
        <w:t xml:space="preserve"> </w:t>
      </w:r>
      <w:r>
        <w:t xml:space="preserve">Analogical continuity assessment, not ecclesial recognition of this model.</w:t>
      </w:r>
    </w:p>
    <w:p>
      <w:pPr>
        <w:pStyle w:val="BodyText"/>
      </w:pPr>
      <w:hyperlink r:id="rId103">
        <w:r>
          <w:rPr>
            <w:rStyle w:val="Hyperlink"/>
          </w:rPr>
          <w:t xml:space="preserve">Inspect evidence / qualification →</w:t>
        </w:r>
      </w:hyperlink>
    </w:p>
    <w:p>
      <w:pPr>
        <w:pStyle w:val="BodyText"/>
      </w:pPr>
      <w:r>
        <w:t xml:space="preserve">Unconsulted lead</w:t>
      </w:r>
    </w:p>
    <w:bookmarkEnd w:id="104"/>
    <w:bookmarkStart w:id="105" w:name="Xbe23e7640d418fc3047e301c4527531d5f630e1"/>
    <w:p>
      <w:pPr>
        <w:pStyle w:val="Heading3"/>
      </w:pPr>
      <w:r>
        <w:t xml:space="preserve">Critical primary texts and specialist monographs</w:t>
      </w:r>
    </w:p>
    <w:p>
      <w:pPr>
        <w:pStyle w:val="FirstParagraph"/>
      </w:pPr>
      <w:r>
        <w:t xml:space="preserve">Scotus Lectura I d.39; Anselm DLA/DV; Constas Ambigua; Grant 2012; Brower 2009; Przywara Analogia Entis</w:t>
      </w:r>
    </w:p>
    <w:p>
      <w:pPr>
        <w:pStyle w:val="BodyText"/>
      </w:pPr>
      <w:r>
        <w:t xml:space="preserve">Precise leads and bibliographic limits in the detailed dossiers.</w:t>
      </w:r>
    </w:p>
    <w:p>
      <w:pPr>
        <w:pStyle w:val="BodyText"/>
      </w:pPr>
      <w:r>
        <w:rPr>
          <w:b/>
          <w:bCs/>
        </w:rPr>
        <w:t xml:space="preserve">Claim:</w:t>
      </w:r>
      <w:r>
        <w:t xml:space="preserve"> </w:t>
      </w:r>
      <w:r>
        <w:t xml:space="preserve">Potential defenses or criticisms needing fuller textual inspection.</w:t>
      </w:r>
    </w:p>
    <w:p>
      <w:pPr>
        <w:pStyle w:val="BodyText"/>
      </w:pPr>
      <w:r>
        <w:rPr>
          <w:b/>
          <w:bCs/>
        </w:rPr>
        <w:t xml:space="preserve">Actually establishes:</w:t>
      </w:r>
      <w:r>
        <w:t xml:space="preserve"> </w:t>
      </w:r>
      <w:r>
        <w:t xml:space="preserve">No new primary or monograph consultation is claimed here.</w:t>
      </w:r>
    </w:p>
    <w:p>
      <w:pPr>
        <w:pStyle w:val="BodyText"/>
      </w:pPr>
      <w:r>
        <w:rPr>
          <w:b/>
          <w:bCs/>
        </w:rPr>
        <w:t xml:space="preserve">Constructive use:</w:t>
      </w:r>
      <w:r>
        <w:t xml:space="preserve"> </w:t>
      </w:r>
      <w:r>
        <w:t xml:space="preserve">These sources are not silently counted as evidence already read.</w:t>
      </w:r>
    </w:p>
    <w:p>
      <w:pPr>
        <w:pStyle w:val="BodyText"/>
      </w:pPr>
      <w:hyperlink r:id="rId58">
        <w:r>
          <w:rPr>
            <w:rStyle w:val="Hyperlink"/>
          </w:rPr>
          <w:t xml:space="preserve">Inspect evidence / qualification →</w:t>
        </w:r>
      </w:hyperlink>
    </w:p>
    <w:bookmarkEnd w:id="105"/>
    <w:p>
      <w:pPr>
        <w:pStyle w:val="BodyText"/>
      </w:pPr>
      <w:r>
        <w:t xml:space="preserve">12 / VERDICT</w:t>
      </w:r>
    </w:p>
    <w:bookmarkStart w:id="106" w:name="determinate-fullness.-gratuitous-action."/>
    <w:p>
      <w:pPr>
        <w:pStyle w:val="Heading2"/>
      </w:pPr>
      <w:r>
        <w:t xml:space="preserve">Determinate fullness. Gratuitous action.</w:t>
      </w:r>
    </w:p>
    <w:p>
      <w:pPr>
        <w:pStyle w:val="FirstParagraph"/>
      </w:pPr>
      <w:r>
        <w:t xml:space="preserve">The constructive achievement is an explicit account of what simple, intelligent, free communication would require, with distinct warrants for its decisive passages.</w:t>
      </w:r>
    </w:p>
    <w:bookmarkEnd w:id="106"/>
    <w:p>
      <w:pPr>
        <w:pStyle w:val="BodyText"/>
      </w:pPr>
      <w:r>
        <w:t xml:space="preserve">Scoped verdict</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p>
      <w:pPr>
        <w:pStyle w:val="BodyText"/>
      </w:pPr>
      <w:r>
        <w:t xml:space="preserve">The positive proposal requires actual voluntary direction and warranted awareness of the action. Together they explain authorship and productive knowledge; their compatibility with intrinsic invariance remains the decisive disputed bridge.</w:t>
      </w:r>
    </w:p>
    <w:p>
      <w:pPr>
        <w:pStyle w:val="BodyText"/>
      </w:pPr>
      <w:hyperlink r:id="rId20">
        <w:r>
          <w:rPr>
            <w:rStyle w:val="Hyperlink"/>
          </w:rPr>
          <w:t xml:space="preserve">Shared reading guide →</w:t>
        </w:r>
      </w:hyperlink>
      <w:hyperlink r:id="rId56">
        <w:r>
          <w:rPr>
            <w:rStyle w:val="Hyperlink"/>
          </w:rPr>
          <w:t xml:space="preserve">Complete Part II report →</w:t>
        </w:r>
      </w:hyperlink>
      <w:hyperlink r:id="rId57">
        <w:r>
          <w:rPr>
            <w:rStyle w:val="Hyperlink"/>
          </w:rPr>
          <w:t xml:space="preserve">Formal audit &amp; models →</w:t>
        </w:r>
      </w:hyperlink>
      <w:hyperlink r:id="rId58">
        <w:r>
          <w:rPr>
            <w:rStyle w:val="Hyperlink"/>
          </w:rPr>
          <w:t xml:space="preserve">Primary/source dossier →</w:t>
        </w:r>
      </w:hyperlink>
      <w:hyperlink r:id="rId59">
        <w:r>
          <w:rPr>
            <w:rStyle w:val="Hyperlink"/>
          </w:rPr>
          <w:t xml:space="preserve">Development assessment →</w:t>
        </w:r>
      </w:hyperlink>
    </w:p>
    <w:p>
      <w:pPr>
        <w:pStyle w:val="Heading1"/>
      </w:pPr>
      <w:r>
        <w:t xml:space="preserve">Interactive material — complete static record</w:t>
      </w:r>
    </w:p>
    <w:bookmarkStart w:id="114" w:name="part-ii-interactive-content-backup"/>
    <w:p>
      <w:pPr>
        <w:pStyle w:val="Heading2"/>
      </w:pPr>
      <w:r>
        <w:t xml:space="preserve">Part II — Interactive content backup</w:t>
      </w:r>
    </w:p>
    <w:p>
      <w:pPr>
        <w:pStyle w:val="FirstParagraph"/>
      </w:pPr>
      <w:r>
        <w:t xml:space="preserve">This appendix preserves every bridge and documented path behind the dependency explorer, together with all three modal scenarios. The page snapshot includes the chapter prose, expanded inheritance/simplicity tables, rival interpretations, historical cards, and complete source ledger. Selecting a commitment stipulates it for the displayed argument; it does not establish independent warrant.</w:t>
      </w:r>
    </w:p>
    <w:bookmarkStart w:id="107" w:name="all-eleven-commitments"/>
    <w:p>
      <w:pPr>
        <w:pStyle w:val="Heading3"/>
      </w:pPr>
      <w:r>
        <w:t xml:space="preserve">All eleven commitments</w:t>
      </w:r>
    </w:p>
    <w:tbl>
      <w:tblPr>
        <w:tblStyle w:val="TableGrid"/>
        <w:tblW w:type="dxa" w:w="9936"/>
        <w:jc w:val="left"/>
        <w:tblLayout w:type="fixed"/>
        <w:tblLook w:firstRow="1" w:lastRow="0" w:firstColumn="0" w:lastColumn="0" w:noHBand="0" w:noVBand="0" w:val="0020"/>
      </w:tblPr>
      <w:tblGrid>
        <w:gridCol w:w="1689"/>
        <w:gridCol w:w="1649"/>
        <w:gridCol w:w="1649"/>
        <w:gridCol w:w="1649"/>
        <w:gridCol w:w="1649"/>
        <w:gridCol w:w="16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Label/name</w:t>
            </w:r>
          </w:p>
        </w:tc>
        <w:tc>
          <w:tcPr>
            <w:tcW w:type="dxa" w:w="1649"/>
            <w:shd w:fill="EAE5DA"/>
          </w:tcPr>
          <w:p>
            <w:pPr>
              <w:pStyle w:val="BodyText"/>
              <w:keepNext w:val="0"/>
              <w:spacing w:after="80" w:line="252" w:lineRule="auto"/>
              <w:jc w:val="left"/>
            </w:pPr>
            <w:r>
              <w:rPr>
                <w:rFonts w:ascii="Calibri" w:hAnsi="Calibri"/>
                <w:b/>
                <w:sz w:val="17"/>
              </w:rPr>
              <w:t xml:space="preserve">Status</w:t>
            </w:r>
          </w:p>
        </w:tc>
        <w:tc>
          <w:tcPr>
            <w:tcW w:type="dxa" w:w="1649"/>
            <w:shd w:fill="EAE5DA"/>
          </w:tcPr>
          <w:p>
            <w:pPr>
              <w:pStyle w:val="BodyText"/>
              <w:keepNext w:val="0"/>
              <w:spacing w:after="80" w:line="252" w:lineRule="auto"/>
              <w:jc w:val="left"/>
            </w:pPr>
            <w:r>
              <w:rPr>
                <w:rFonts w:ascii="Calibri" w:hAnsi="Calibri"/>
                <w:b/>
                <w:sz w:val="17"/>
              </w:rPr>
              <w:t xml:space="preserve">Description</w:t>
            </w:r>
          </w:p>
        </w:tc>
        <w:tc>
          <w:tcPr>
            <w:tcW w:type="dxa" w:w="1649"/>
            <w:shd w:fill="EAE5DA"/>
          </w:tcPr>
          <w:p>
            <w:pPr>
              <w:pStyle w:val="BodyText"/>
              <w:keepNext w:val="0"/>
              <w:spacing w:after="80" w:line="252" w:lineRule="auto"/>
              <w:jc w:val="left"/>
            </w:pPr>
            <w:r>
              <w:rPr>
                <w:rFonts w:ascii="Calibri" w:hAnsi="Calibri"/>
                <w:b/>
                <w:sz w:val="17"/>
              </w:rPr>
              <w:t xml:space="preserve">Default selection</w:t>
            </w:r>
          </w:p>
        </w:tc>
        <w:tc>
          <w:tcPr>
            <w:tcW w:type="dxa" w:w="1649"/>
            <w:shd w:fill="EAE5DA"/>
          </w:tcPr>
          <w:p>
            <w:pPr>
              <w:pStyle w:val="BodyText"/>
              <w:keepNext w:val="0"/>
              <w:spacing w:after="80" w:line="252" w:lineRule="auto"/>
              <w:jc w:val="left"/>
            </w:pPr>
            <w:r>
              <w:rPr>
                <w:rFonts w:ascii="Calibri" w:hAnsi="Calibri"/>
                <w:b/>
                <w:sz w:val="17"/>
              </w:rPr>
              <w:t xml:space="preserve">Deletion example</w:t>
            </w:r>
          </w:p>
        </w:tc>
        <w:tc>
          <w:tcPr>
            <w:tcW w:type="dxa" w:w="1649"/>
            <w:shd w:fill="EAE5DA"/>
          </w:tcPr>
          <w:p>
            <w:pPr>
              <w:pStyle w:val="BodyText"/>
              <w:keepNext w:val="0"/>
              <w:spacing w:after="80" w:line="252" w:lineRule="auto"/>
              <w:jc w:val="left"/>
            </w:pPr>
            <w:r>
              <w:rPr>
                <w:rFonts w:ascii="Calibri" w:hAnsi="Calibri"/>
                <w:b/>
                <w:sz w:val="17"/>
              </w:rPr>
              <w:t xml:space="preserve">Consequence / qualification</w:t>
            </w:r>
          </w:p>
        </w:tc>
      </w:tr>
      <w:tr>
        <w:tc>
          <w:tcPr>
            <w:tcW w:type="dxa" w:w="1689"/>
          </w:tcPr>
          <w:p>
            <w:pPr>
              <w:pStyle w:val="BodyText"/>
              <w:keepNext w:val="0"/>
              <w:spacing w:after="80" w:line="252" w:lineRule="auto"/>
              <w:jc w:val="left"/>
            </w:pPr>
            <w:r>
              <w:rPr>
                <w:rFonts w:ascii="Calibri" w:hAnsi="Calibri"/>
                <w:sz w:val="17"/>
              </w:rPr>
              <w:t xml:space="preserve">U — Source underivation</w:t>
            </w:r>
          </w:p>
        </w:tc>
        <w:tc>
          <w:tcPr>
            <w:tcW w:type="dxa" w:w="1649"/>
          </w:tcPr>
          <w:p>
            <w:pPr>
              <w:pStyle w:val="BodyText"/>
              <w:keepNext w:val="0"/>
              <w:spacing w:after="80" w:line="252" w:lineRule="auto"/>
              <w:jc w:val="left"/>
            </w:pPr>
            <w:r>
              <w:rPr>
                <w:rFonts w:ascii="Calibri" w:hAnsi="Calibri"/>
                <w:sz w:val="17"/>
              </w:rPr>
              <w:t xml:space="preserve">Inherited premise</w:t>
            </w:r>
          </w:p>
        </w:tc>
        <w:tc>
          <w:tcPr>
            <w:tcW w:type="dxa" w:w="1649"/>
          </w:tcPr>
          <w:p>
            <w:pPr>
              <w:pStyle w:val="BodyText"/>
              <w:keepNext w:val="0"/>
              <w:spacing w:after="80" w:line="252" w:lineRule="auto"/>
              <w:jc w:val="left"/>
            </w:pPr>
            <w:r>
              <w:rPr>
                <w:rFonts w:ascii="Calibri" w:hAnsi="Calibri"/>
                <w:sz w:val="17"/>
              </w:rPr>
              <w:t xml:space="preserve">No constitutive grounding of source actuality in something else.</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Composite dependent source</w:t>
            </w:r>
          </w:p>
        </w:tc>
        <w:tc>
          <w:tcPr>
            <w:tcW w:type="dxa" w:w="1649"/>
          </w:tcPr>
          <w:p>
            <w:pPr>
              <w:pStyle w:val="BodyText"/>
              <w:keepNext w:val="0"/>
              <w:spacing w:after="80" w:line="252" w:lineRule="auto"/>
              <w:jc w:val="left"/>
            </w:pPr>
            <w:r>
              <w:rPr>
                <w:rFonts w:ascii="Calibri" w:hAnsi="Calibri"/>
                <w:sz w:val="17"/>
              </w:rPr>
              <w:t xml:space="preserve">A source may receive actuality or depend on constituents. Other retained simplicity theses could still block some cases; this toggle tracks this proof only.</w:t>
            </w:r>
          </w:p>
        </w:tc>
      </w:tr>
      <w:tr>
        <w:tc>
          <w:tcPr>
            <w:tcW w:type="dxa" w:w="1689"/>
          </w:tcPr>
          <w:p>
            <w:pPr>
              <w:pStyle w:val="BodyText"/>
              <w:keepNext w:val="0"/>
              <w:spacing w:after="80" w:line="252" w:lineRule="auto"/>
              <w:jc w:val="left"/>
            </w:pPr>
            <w:r>
              <w:rPr>
                <w:rFonts w:ascii="Calibri" w:hAnsi="Calibri"/>
                <w:sz w:val="17"/>
              </w:rPr>
              <w:t xml:space="preserve">KD — Constitution grounds dependence</w:t>
            </w:r>
          </w:p>
        </w:tc>
        <w:tc>
          <w:tcPr>
            <w:tcW w:type="dxa" w:w="1649"/>
          </w:tcPr>
          <w:p>
            <w:pPr>
              <w:pStyle w:val="BodyText"/>
              <w:keepNext w:val="0"/>
              <w:spacing w:after="80" w:line="252" w:lineRule="auto"/>
              <w:jc w:val="left"/>
            </w:pPr>
            <w:r>
              <w:rPr>
                <w:rFonts w:ascii="Calibri" w:hAnsi="Calibri"/>
                <w:sz w:val="17"/>
              </w:rPr>
              <w:t xml:space="preserve">Inherited bridge</w:t>
            </w:r>
          </w:p>
        </w:tc>
        <w:tc>
          <w:tcPr>
            <w:tcW w:type="dxa" w:w="1649"/>
          </w:tcPr>
          <w:p>
            <w:pPr>
              <w:pStyle w:val="BodyText"/>
              <w:keepNext w:val="0"/>
              <w:spacing w:after="80" w:line="252" w:lineRule="auto"/>
              <w:jc w:val="left"/>
            </w:pPr>
            <w:r>
              <w:rPr>
                <w:rFonts w:ascii="Calibri" w:hAnsi="Calibri"/>
                <w:sz w:val="17"/>
              </w:rPr>
              <w:t xml:space="preserve">Proper intrinsic constituents contribute grounds of the whole’s actuality.</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Brute intrinsic unity</w:t>
            </w:r>
          </w:p>
        </w:tc>
        <w:tc>
          <w:tcPr>
            <w:tcW w:type="dxa" w:w="1649"/>
          </w:tcPr>
          <w:p>
            <w:pPr>
              <w:pStyle w:val="BodyText"/>
              <w:keepNext w:val="0"/>
              <w:spacing w:after="80" w:line="252" w:lineRule="auto"/>
              <w:jc w:val="left"/>
            </w:pPr>
            <w:r>
              <w:rPr>
                <w:rFonts w:ascii="Calibri" w:hAnsi="Calibri"/>
                <w:sz w:val="17"/>
              </w:rPr>
              <w:t xml:space="preserve">An efficiently uncaused or brute composite can evade the source noncomposition argument.</w:t>
            </w:r>
          </w:p>
        </w:tc>
      </w:tr>
      <w:tr>
        <w:tc>
          <w:tcPr>
            <w:tcW w:type="dxa" w:w="1689"/>
          </w:tcPr>
          <w:p>
            <w:pPr>
              <w:pStyle w:val="BodyText"/>
              <w:keepNext w:val="0"/>
              <w:spacing w:after="80" w:line="252" w:lineRule="auto"/>
              <w:jc w:val="left"/>
            </w:pPr>
            <w:r>
              <w:rPr>
                <w:rFonts w:ascii="Calibri" w:hAnsi="Calibri"/>
                <w:sz w:val="17"/>
              </w:rPr>
              <w:t xml:space="preserve">F — Unbounded / bounded actuality profile</w:t>
            </w:r>
          </w:p>
        </w:tc>
        <w:tc>
          <w:tcPr>
            <w:tcW w:type="dxa" w:w="1649"/>
          </w:tcPr>
          <w:p>
            <w:pPr>
              <w:pStyle w:val="BodyText"/>
              <w:keepNext w:val="0"/>
              <w:spacing w:after="80" w:line="252" w:lineRule="auto"/>
              <w:jc w:val="left"/>
            </w:pPr>
            <w:r>
              <w:rPr>
                <w:rFonts w:ascii="Calibri" w:hAnsi="Calibri"/>
                <w:sz w:val="17"/>
              </w:rPr>
              <w:t xml:space="preserve">Inherited profile</w:t>
            </w:r>
          </w:p>
        </w:tc>
        <w:tc>
          <w:tcPr>
            <w:tcW w:type="dxa" w:w="1649"/>
          </w:tcPr>
          <w:p>
            <w:pPr>
              <w:pStyle w:val="BodyText"/>
              <w:keepNext w:val="0"/>
              <w:spacing w:after="80" w:line="252" w:lineRule="auto"/>
              <w:jc w:val="left"/>
            </w:pPr>
            <w:r>
              <w:rPr>
                <w:rFonts w:ascii="Calibri" w:hAnsi="Calibri"/>
                <w:sz w:val="17"/>
              </w:rPr>
              <w:t xml:space="preserve">FS and FC compare source and created actuality in respect e.</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Equal-mode source and effect</w:t>
            </w:r>
          </w:p>
        </w:tc>
        <w:tc>
          <w:tcPr>
            <w:tcW w:type="dxa" w:w="1649"/>
          </w:tcPr>
          <w:p>
            <w:pPr>
              <w:pStyle w:val="BodyText"/>
              <w:keepNext w:val="0"/>
              <w:spacing w:after="80" w:line="252" w:lineRule="auto"/>
              <w:jc w:val="left"/>
            </w:pPr>
            <w:r>
              <w:rPr>
                <w:rFonts w:ascii="Calibri" w:hAnsi="Calibri"/>
                <w:sz w:val="17"/>
              </w:rPr>
              <w:t xml:space="preserve">Finite effects need not fall below source measure. Infinity and finitude do not establish alternatives even when retained.</w:t>
            </w:r>
          </w:p>
        </w:tc>
      </w:tr>
      <w:tr>
        <w:tc>
          <w:tcPr>
            <w:tcW w:type="dxa" w:w="1689"/>
          </w:tcPr>
          <w:p>
            <w:pPr>
              <w:pStyle w:val="BodyText"/>
              <w:keepNext w:val="0"/>
              <w:spacing w:after="80" w:line="252" w:lineRule="auto"/>
              <w:jc w:val="left"/>
            </w:pPr>
            <w:r>
              <w:rPr>
                <w:rFonts w:ascii="Calibri" w:hAnsi="Calibri"/>
                <w:sz w:val="17"/>
              </w:rPr>
              <w:t xml:space="preserve">M — Live creation alternatives</w:t>
            </w:r>
          </w:p>
        </w:tc>
        <w:tc>
          <w:tcPr>
            <w:tcW w:type="dxa" w:w="1649"/>
          </w:tcPr>
          <w:p>
            <w:pPr>
              <w:pStyle w:val="BodyText"/>
              <w:keepNext w:val="0"/>
              <w:spacing w:after="80" w:line="252" w:lineRule="auto"/>
              <w:jc w:val="left"/>
            </w:pPr>
            <w:r>
              <w:rPr>
                <w:rFonts w:ascii="Calibri" w:hAnsi="Calibri"/>
                <w:sz w:val="17"/>
              </w:rPr>
              <w:t xml:space="preserve">Additional premise</w:t>
            </w:r>
          </w:p>
        </w:tc>
        <w:tc>
          <w:tcPr>
            <w:tcW w:type="dxa" w:w="1649"/>
          </w:tcPr>
          <w:p>
            <w:pPr>
              <w:pStyle w:val="BodyText"/>
              <w:keepNext w:val="0"/>
              <w:spacing w:after="80" w:line="252" w:lineRule="auto"/>
              <w:jc w:val="left"/>
            </w:pPr>
            <w:r>
              <w:rPr>
                <w:rFonts w:ascii="Calibri" w:hAnsi="Calibri"/>
                <w:sz w:val="17"/>
              </w:rPr>
              <w:t xml:space="preserve">Admissible orders A, B, and no creation; their metaphysical possibility is asserted and needs warrant.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Necessary emanator</w:t>
            </w:r>
          </w:p>
        </w:tc>
        <w:tc>
          <w:tcPr>
            <w:tcW w:type="dxa" w:w="1649"/>
          </w:tcPr>
          <w:p>
            <w:pPr>
              <w:pStyle w:val="BodyText"/>
              <w:keepNext w:val="0"/>
              <w:spacing w:after="80" w:line="252" w:lineRule="auto"/>
              <w:jc w:val="left"/>
            </w:pPr>
            <w:r>
              <w:rPr>
                <w:rFonts w:ascii="Calibri" w:hAnsi="Calibri"/>
                <w:sz w:val="17"/>
              </w:rPr>
              <w:t xml:space="preserve">A necessary finite emanation remains compatible with the participation profile.</w:t>
            </w:r>
          </w:p>
        </w:tc>
      </w:tr>
      <w:tr>
        <w:tc>
          <w:tcPr>
            <w:tcW w:type="dxa" w:w="1689"/>
          </w:tcPr>
          <w:p>
            <w:pPr>
              <w:pStyle w:val="BodyText"/>
              <w:keepNext w:val="0"/>
              <w:spacing w:after="80" w:line="252" w:lineRule="auto"/>
              <w:jc w:val="left"/>
            </w:pPr>
            <w:r>
              <w:rPr>
                <w:rFonts w:ascii="Calibri" w:hAnsi="Calibri"/>
                <w:sz w:val="17"/>
              </w:rPr>
              <w:t xml:space="preserve">I — Intelligible reasons and possibilities</w:t>
            </w:r>
          </w:p>
        </w:tc>
        <w:tc>
          <w:tcPr>
            <w:tcW w:type="dxa" w:w="1649"/>
          </w:tcPr>
          <w:p>
            <w:pPr>
              <w:pStyle w:val="BodyText"/>
              <w:keepNext w:val="0"/>
              <w:spacing w:after="80" w:line="252" w:lineRule="auto"/>
              <w:jc w:val="left"/>
            </w:pPr>
            <w:r>
              <w:rPr>
                <w:rFonts w:ascii="Calibri" w:hAnsi="Calibri"/>
                <w:sz w:val="17"/>
              </w:rPr>
              <w:t xml:space="preserve">Additional premise</w:t>
            </w:r>
          </w:p>
        </w:tc>
        <w:tc>
          <w:tcPr>
            <w:tcW w:type="dxa" w:w="1649"/>
          </w:tcPr>
          <w:p>
            <w:pPr>
              <w:pStyle w:val="BodyText"/>
              <w:keepNext w:val="0"/>
              <w:spacing w:after="80" w:line="252" w:lineRule="auto"/>
              <w:jc w:val="left"/>
            </w:pPr>
            <w:r>
              <w:rPr>
                <w:rFonts w:ascii="Calibri" w:hAnsi="Calibri"/>
                <w:sz w:val="17"/>
              </w:rPr>
              <w:t xml:space="preserve">The source understands possible expressions and their goods. Intelligence needs a positive-perfection bridge; producing cognition alone is weaker.</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Action without understanding</w:t>
            </w:r>
          </w:p>
        </w:tc>
        <w:tc>
          <w:tcPr>
            <w:tcW w:type="dxa" w:w="1649"/>
          </w:tcPr>
          <w:p>
            <w:pPr>
              <w:pStyle w:val="BodyText"/>
              <w:keepNext w:val="0"/>
              <w:spacing w:after="80" w:line="252" w:lineRule="auto"/>
              <w:jc w:val="left"/>
            </w:pPr>
            <w:r>
              <w:rPr>
                <w:rFonts w:ascii="Calibri" w:hAnsi="Calibri"/>
                <w:sz w:val="17"/>
              </w:rPr>
              <w:t xml:space="preserve">A choice made by the agent can remain uncomprehending; alternatives alone supply no rational understanding.</w:t>
            </w:r>
          </w:p>
        </w:tc>
      </w:tr>
      <w:tr>
        <w:tc>
          <w:tcPr>
            <w:tcW w:type="dxa" w:w="1689"/>
          </w:tcPr>
          <w:p>
            <w:pPr>
              <w:pStyle w:val="BodyText"/>
              <w:keepNext w:val="0"/>
              <w:spacing w:after="80" w:line="252" w:lineRule="auto"/>
              <w:jc w:val="left"/>
            </w:pPr>
            <w:r>
              <w:rPr>
                <w:rFonts w:ascii="Calibri" w:hAnsi="Calibri"/>
                <w:sz w:val="17"/>
              </w:rPr>
              <w:t xml:space="preserve">A — Control of the action</w:t>
            </w:r>
          </w:p>
        </w:tc>
        <w:tc>
          <w:tcPr>
            <w:tcW w:type="dxa" w:w="1649"/>
          </w:tcPr>
          <w:p>
            <w:pPr>
              <w:pStyle w:val="BodyText"/>
              <w:keepNext w:val="0"/>
              <w:spacing w:after="80" w:line="252" w:lineRule="auto"/>
              <w:jc w:val="left"/>
            </w:pPr>
            <w:r>
              <w:rPr>
                <w:rFonts w:ascii="Calibri" w:hAnsi="Calibri"/>
                <w:sz w:val="17"/>
              </w:rPr>
              <w:t xml:space="preserve">Agency proposal</w:t>
            </w:r>
          </w:p>
        </w:tc>
        <w:tc>
          <w:tcPr>
            <w:tcW w:type="dxa" w:w="1649"/>
          </w:tcPr>
          <w:p>
            <w:pPr>
              <w:pStyle w:val="BodyText"/>
              <w:keepNext w:val="0"/>
              <w:spacing w:after="80" w:line="252" w:lineRule="auto"/>
              <w:jc w:val="left"/>
            </w:pPr>
            <w:r>
              <w:rPr>
                <w:rFonts w:ascii="Calibri" w:hAnsi="Calibri"/>
                <w:sz w:val="17"/>
              </w:rPr>
              <w:t xml:space="preserve">The actual choice originates in the source’s intentional control. A reason can render it intelligible without uniquely necessitating it.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Source-level lottery</w:t>
            </w:r>
          </w:p>
        </w:tc>
        <w:tc>
          <w:tcPr>
            <w:tcW w:type="dxa" w:w="1649"/>
          </w:tcPr>
          <w:p>
            <w:pPr>
              <w:pStyle w:val="BodyText"/>
              <w:keepNext w:val="0"/>
              <w:spacing w:after="80" w:line="252" w:lineRule="auto"/>
              <w:jc w:val="left"/>
            </w:pPr>
            <w:r>
              <w:rPr>
                <w:rFonts w:ascii="Calibri" w:hAnsi="Calibri"/>
                <w:sz w:val="17"/>
              </w:rPr>
              <w:t xml:space="preserve">An impersonal spontaneous process can select among alternatives while every effect remains source-dependent.</w:t>
            </w:r>
          </w:p>
        </w:tc>
      </w:tr>
      <w:tr>
        <w:tc>
          <w:tcPr>
            <w:tcW w:type="dxa" w:w="1689"/>
          </w:tcPr>
          <w:p>
            <w:pPr>
              <w:pStyle w:val="BodyText"/>
              <w:keepNext w:val="0"/>
              <w:spacing w:after="80" w:line="252" w:lineRule="auto"/>
              <w:jc w:val="left"/>
            </w:pPr>
            <w:r>
              <w:rPr>
                <w:rFonts w:ascii="Calibri" w:hAnsi="Calibri"/>
                <w:sz w:val="17"/>
              </w:rPr>
              <w:t xml:space="preserve">T — Intention and effect correspond</w:t>
            </w:r>
          </w:p>
        </w:tc>
        <w:tc>
          <w:tcPr>
            <w:tcW w:type="dxa" w:w="1649"/>
          </w:tcPr>
          <w:p>
            <w:pPr>
              <w:pStyle w:val="BodyText"/>
              <w:keepNext w:val="0"/>
              <w:spacing w:after="80" w:line="252" w:lineRule="auto"/>
              <w:jc w:val="left"/>
            </w:pPr>
            <w:r>
              <w:rPr>
                <w:rFonts w:ascii="Calibri" w:hAnsi="Calibri"/>
                <w:sz w:val="17"/>
              </w:rPr>
              <w:t xml:space="preserve">Specification proposal</w:t>
            </w:r>
          </w:p>
        </w:tc>
        <w:tc>
          <w:tcPr>
            <w:tcW w:type="dxa" w:w="1649"/>
          </w:tcPr>
          <w:p>
            <w:pPr>
              <w:pStyle w:val="BodyText"/>
              <w:keepNext w:val="0"/>
              <w:spacing w:after="80" w:line="252" w:lineRule="auto"/>
              <w:jc w:val="left"/>
            </w:pPr>
            <w:r>
              <w:rPr>
                <w:rFonts w:ascii="Calibri" w:hAnsi="Calibri"/>
                <w:sz w:val="17"/>
              </w:rPr>
              <w:t xml:space="preserve">The agent’s action realizes its intended plan as an actual effect. A label on the effect is insufficient.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Intention without effective specification</w:t>
            </w:r>
          </w:p>
        </w:tc>
        <w:tc>
          <w:tcPr>
            <w:tcW w:type="dxa" w:w="1649"/>
          </w:tcPr>
          <w:p>
            <w:pPr>
              <w:pStyle w:val="BodyText"/>
              <w:keepNext w:val="0"/>
              <w:spacing w:after="80" w:line="252" w:lineRule="auto"/>
              <w:jc w:val="left"/>
            </w:pPr>
            <w:r>
              <w:rPr>
                <w:rFonts w:ascii="Calibri" w:hAnsi="Calibri"/>
                <w:sz w:val="17"/>
              </w:rPr>
              <w:t xml:space="preserve">An intended plan need not coincide with the actual outcome. Other specification ontologies may supply a substitute.</w:t>
            </w:r>
          </w:p>
        </w:tc>
      </w:tr>
      <w:tr>
        <w:tc>
          <w:tcPr>
            <w:tcW w:type="dxa" w:w="1689"/>
          </w:tcPr>
          <w:p>
            <w:pPr>
              <w:pStyle w:val="BodyText"/>
              <w:keepNext w:val="0"/>
              <w:spacing w:after="80" w:line="252" w:lineRule="auto"/>
              <w:jc w:val="left"/>
            </w:pPr>
            <w:r>
              <w:rPr>
                <w:rFonts w:ascii="Calibri" w:hAnsi="Calibri"/>
                <w:sz w:val="17"/>
              </w:rPr>
              <w:t xml:space="preserve">R — Awareness of the actual action</w:t>
            </w:r>
          </w:p>
        </w:tc>
        <w:tc>
          <w:tcPr>
            <w:tcW w:type="dxa" w:w="1649"/>
          </w:tcPr>
          <w:p>
            <w:pPr>
              <w:pStyle w:val="BodyText"/>
              <w:keepNext w:val="0"/>
              <w:spacing w:after="80" w:line="252" w:lineRule="auto"/>
              <w:jc w:val="left"/>
            </w:pPr>
            <w:r>
              <w:rPr>
                <w:rFonts w:ascii="Calibri" w:hAnsi="Calibri"/>
                <w:sz w:val="17"/>
              </w:rPr>
              <w:t xml:space="preserve">Epistemic proposal</w:t>
            </w:r>
          </w:p>
        </w:tc>
        <w:tc>
          <w:tcPr>
            <w:tcW w:type="dxa" w:w="1649"/>
          </w:tcPr>
          <w:p>
            <w:pPr>
              <w:pStyle w:val="BodyText"/>
              <w:keepNext w:val="0"/>
              <w:spacing w:after="80" w:line="252" w:lineRule="auto"/>
              <w:jc w:val="left"/>
            </w:pPr>
            <w:r>
              <w:rPr>
                <w:rFonts w:ascii="Calibri" w:hAnsi="Calibri"/>
                <w:sz w:val="17"/>
              </w:rPr>
              <w:t xml:space="preserve">Awareness discloses the source’s actual choice, rather than just its capacity or possible plans. Whether this counts as knowledge is examined separately.</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Capacity-aware source</w:t>
            </w:r>
          </w:p>
        </w:tc>
        <w:tc>
          <w:tcPr>
            <w:tcW w:type="dxa" w:w="1649"/>
          </w:tcPr>
          <w:p>
            <w:pPr>
              <w:pStyle w:val="BodyText"/>
              <w:keepNext w:val="0"/>
              <w:spacing w:after="80" w:line="252" w:lineRule="auto"/>
              <w:jc w:val="left"/>
            </w:pPr>
            <w:r>
              <w:rPr>
                <w:rFonts w:ascii="Calibri" w:hAnsi="Calibri"/>
                <w:sz w:val="17"/>
              </w:rPr>
              <w:t xml:space="preserve">Possibilities remain known while which exercise is actual is not disclosed. Other non-receptive epistemologies remain possible.</w:t>
            </w:r>
          </w:p>
        </w:tc>
      </w:tr>
      <w:tr>
        <w:tc>
          <w:tcPr>
            <w:tcW w:type="dxa" w:w="1689"/>
          </w:tcPr>
          <w:p>
            <w:pPr>
              <w:pStyle w:val="BodyText"/>
              <w:keepNext w:val="0"/>
              <w:spacing w:after="80" w:line="252" w:lineRule="auto"/>
              <w:jc w:val="left"/>
            </w:pPr>
            <w:r>
              <w:rPr>
                <w:rFonts w:ascii="Calibri" w:hAnsi="Calibri"/>
                <w:sz w:val="17"/>
              </w:rPr>
              <w:t xml:space="preserve">CT — The action discloses its effect</w:t>
            </w:r>
          </w:p>
        </w:tc>
        <w:tc>
          <w:tcPr>
            <w:tcW w:type="dxa" w:w="1649"/>
          </w:tcPr>
          <w:p>
            <w:pPr>
              <w:pStyle w:val="BodyText"/>
              <w:keepNext w:val="0"/>
              <w:spacing w:after="80" w:line="252" w:lineRule="auto"/>
              <w:jc w:val="left"/>
            </w:pPr>
            <w:r>
              <w:rPr>
                <w:rFonts w:ascii="Calibri" w:hAnsi="Calibri"/>
                <w:sz w:val="17"/>
              </w:rPr>
              <w:t xml:space="preserve">Epistemic proposal</w:t>
            </w:r>
          </w:p>
        </w:tc>
        <w:tc>
          <w:tcPr>
            <w:tcW w:type="dxa" w:w="1649"/>
          </w:tcPr>
          <w:p>
            <w:pPr>
              <w:pStyle w:val="BodyText"/>
              <w:keepNext w:val="0"/>
              <w:spacing w:after="80" w:line="252" w:lineRule="auto"/>
              <w:jc w:val="left"/>
            </w:pPr>
            <w:r>
              <w:rPr>
                <w:rFonts w:ascii="Calibri" w:hAnsi="Calibri"/>
                <w:sz w:val="17"/>
              </w:rPr>
              <w:t xml:space="preserve">Awareness of the actual action adequately discloses its actual effect.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Effect not disclosed by the action</w:t>
            </w:r>
          </w:p>
        </w:tc>
        <w:tc>
          <w:tcPr>
            <w:tcW w:type="dxa" w:w="1649"/>
          </w:tcPr>
          <w:p>
            <w:pPr>
              <w:pStyle w:val="BodyText"/>
              <w:keepNext w:val="0"/>
              <w:spacing w:after="80" w:line="252" w:lineRule="auto"/>
              <w:jc w:val="left"/>
            </w:pPr>
            <w:r>
              <w:rPr>
                <w:rFonts w:ascii="Calibri" w:hAnsi="Calibri"/>
                <w:sz w:val="17"/>
              </w:rPr>
              <w:t xml:space="preserve">Awareness of one’s action need not disclose every external result. Scope and adequacy still need defending.</w:t>
            </w:r>
          </w:p>
        </w:tc>
      </w:tr>
      <w:tr>
        <w:tc>
          <w:tcPr>
            <w:tcW w:type="dxa" w:w="1689"/>
          </w:tcPr>
          <w:p>
            <w:pPr>
              <w:pStyle w:val="BodyText"/>
              <w:keepNext w:val="0"/>
              <w:spacing w:after="80" w:line="252" w:lineRule="auto"/>
              <w:jc w:val="left"/>
            </w:pPr>
            <w:r>
              <w:rPr>
                <w:rFonts w:ascii="Calibri" w:hAnsi="Calibri"/>
                <w:sz w:val="17"/>
              </w:rPr>
              <w:t xml:space="preserve">X — Same intrinsic actuality across alternatives</w:t>
            </w:r>
          </w:p>
        </w:tc>
        <w:tc>
          <w:tcPr>
            <w:tcW w:type="dxa" w:w="1649"/>
          </w:tcPr>
          <w:p>
            <w:pPr>
              <w:pStyle w:val="BodyText"/>
              <w:keepNext w:val="0"/>
              <w:spacing w:after="80" w:line="252" w:lineRule="auto"/>
              <w:jc w:val="left"/>
            </w:pPr>
            <w:r>
              <w:rPr>
                <w:rFonts w:ascii="Calibri" w:hAnsi="Calibri"/>
                <w:sz w:val="17"/>
              </w:rPr>
              <w:t xml:space="preserve">Optional compatibility commitment</w:t>
            </w:r>
          </w:p>
        </w:tc>
        <w:tc>
          <w:tcPr>
            <w:tcW w:type="dxa" w:w="1649"/>
          </w:tcPr>
          <w:p>
            <w:pPr>
              <w:pStyle w:val="BodyText"/>
              <w:keepNext w:val="0"/>
              <w:spacing w:after="80" w:line="252" w:lineRule="auto"/>
              <w:jc w:val="left"/>
            </w:pPr>
            <w:r>
              <w:rPr>
                <w:rFonts w:ascii="Calibri" w:hAnsi="Calibri"/>
                <w:sz w:val="17"/>
              </w:rPr>
              <w:t xml:space="preserve">The source’s intrinsic profile is invariant across admitted created outcomes. Neither noncomposition nor temporal changelessness establishes this.</w:t>
            </w:r>
          </w:p>
        </w:tc>
        <w:tc>
          <w:tcPr>
            <w:tcW w:type="dxa" w:w="1649"/>
          </w:tcPr>
          <w:p>
            <w:pPr>
              <w:pStyle w:val="BodyText"/>
              <w:keepNext w:val="0"/>
              <w:spacing w:after="80" w:line="252" w:lineRule="auto"/>
              <w:jc w:val="left"/>
            </w:pPr>
            <w:r>
              <w:rPr>
                <w:rFonts w:ascii="Calibri" w:hAnsi="Calibri"/>
                <w:sz w:val="17"/>
              </w:rPr>
              <w:t xml:space="preserve">Selected</w:t>
            </w:r>
          </w:p>
        </w:tc>
        <w:tc>
          <w:tcPr>
            <w:tcW w:type="dxa" w:w="1649"/>
          </w:tcPr>
          <w:p>
            <w:pPr>
              <w:pStyle w:val="BodyText"/>
              <w:keepNext w:val="0"/>
              <w:spacing w:after="80" w:line="252" w:lineRule="auto"/>
              <w:jc w:val="left"/>
            </w:pPr>
            <w:r>
              <w:rPr>
                <w:rFonts w:ascii="Calibri" w:hAnsi="Calibri"/>
                <w:sz w:val="17"/>
              </w:rPr>
              <w:t xml:space="preserve">Noncomposite intrinsic-variation rival</w:t>
            </w:r>
          </w:p>
        </w:tc>
        <w:tc>
          <w:tcPr>
            <w:tcW w:type="dxa" w:w="1649"/>
          </w:tcPr>
          <w:p>
            <w:pPr>
              <w:pStyle w:val="BodyText"/>
              <w:keepNext w:val="0"/>
              <w:spacing w:after="80" w:line="252" w:lineRule="auto"/>
              <w:jc w:val="left"/>
            </w:pPr>
            <w:r>
              <w:rPr>
                <w:rFonts w:ascii="Calibri" w:hAnsi="Calibri"/>
                <w:sz w:val="17"/>
              </w:rPr>
              <w:t xml:space="preserve">A rival can vary intrinsic intention across worlds while remaining noncomposite and underived.</w:t>
            </w:r>
          </w:p>
        </w:tc>
      </w:tr>
      <w:tr>
        <w:tc>
          <w:tcPr>
            <w:tcW w:type="dxa" w:w="1689"/>
          </w:tcPr>
          <w:p>
            <w:pPr>
              <w:pStyle w:val="BodyText"/>
              <w:keepNext w:val="0"/>
              <w:spacing w:after="80" w:line="252" w:lineRule="auto"/>
              <w:jc w:val="left"/>
            </w:pPr>
            <w:r>
              <w:rPr>
                <w:rFonts w:ascii="Calibri" w:hAnsi="Calibri"/>
                <w:sz w:val="17"/>
              </w:rPr>
              <w:t xml:space="preserve">EP — Warrant for knowledge through one’s action</w:t>
            </w:r>
          </w:p>
        </w:tc>
        <w:tc>
          <w:tcPr>
            <w:tcW w:type="dxa" w:w="1649"/>
          </w:tcPr>
          <w:p>
            <w:pPr>
              <w:pStyle w:val="BodyText"/>
              <w:keepNext w:val="0"/>
              <w:spacing w:after="80" w:line="252" w:lineRule="auto"/>
              <w:jc w:val="left"/>
            </w:pPr>
            <w:r>
              <w:rPr>
                <w:rFonts w:ascii="Calibri" w:hAnsi="Calibri"/>
                <w:sz w:val="17"/>
              </w:rPr>
              <w:t xml:space="preserve">Epistemic bridge</w:t>
            </w:r>
          </w:p>
        </w:tc>
        <w:tc>
          <w:tcPr>
            <w:tcW w:type="dxa" w:w="1649"/>
          </w:tcPr>
          <w:p>
            <w:pPr>
              <w:pStyle w:val="BodyText"/>
              <w:keepNext w:val="0"/>
              <w:spacing w:after="80" w:line="252" w:lineRule="auto"/>
              <w:jc w:val="left"/>
            </w:pPr>
            <w:r>
              <w:rPr>
                <w:rFonts w:ascii="Calibri" w:hAnsi="Calibri"/>
                <w:sz w:val="17"/>
              </w:rPr>
              <w:t xml:space="preserve">Accurate awareness of the action and its effect counts as knowledge only with adequate warrant. Accuracy alone is insufficient.</w:t>
            </w:r>
          </w:p>
        </w:tc>
        <w:tc>
          <w:tcPr>
            <w:tcW w:type="dxa" w:w="1649"/>
          </w:tcPr>
          <w:p>
            <w:pPr>
              <w:pStyle w:val="BodyText"/>
              <w:keepNext w:val="0"/>
              <w:spacing w:after="80" w:line="252" w:lineRule="auto"/>
              <w:jc w:val="left"/>
            </w:pPr>
            <w:r>
              <w:rPr>
                <w:rFonts w:ascii="Calibri" w:hAnsi="Calibri"/>
                <w:sz w:val="17"/>
              </w:rPr>
              <w:t xml:space="preserve">Not selected</w:t>
            </w:r>
          </w:p>
        </w:tc>
        <w:tc>
          <w:tcPr>
            <w:tcW w:type="dxa" w:w="1649"/>
          </w:tcPr>
          <w:p>
            <w:pPr>
              <w:pStyle w:val="BodyText"/>
              <w:keepNext w:val="0"/>
              <w:spacing w:after="80" w:line="252" w:lineRule="auto"/>
              <w:jc w:val="left"/>
            </w:pPr>
            <w:r>
              <w:rPr>
                <w:rFonts w:ascii="Calibri" w:hAnsi="Calibri"/>
                <w:sz w:val="17"/>
              </w:rPr>
              <w:t xml:space="preserve">Accurate access without warranted knowledge</w:t>
            </w:r>
          </w:p>
        </w:tc>
        <w:tc>
          <w:tcPr>
            <w:tcW w:type="dxa" w:w="1649"/>
          </w:tcPr>
          <w:p>
            <w:pPr>
              <w:pStyle w:val="BodyText"/>
              <w:keepNext w:val="0"/>
              <w:spacing w:after="80" w:line="252" w:lineRule="auto"/>
              <w:jc w:val="left"/>
            </w:pPr>
            <w:r>
              <w:rPr>
                <w:rFonts w:ascii="Calibri" w:hAnsi="Calibri"/>
                <w:sz w:val="17"/>
              </w:rPr>
              <w:t xml:space="preserve">Correct access records may coexist with an unsupported knowledge claim. If R is instead defined as fully warranted knowledge, this bridge is absorbed into that stronger premise.</w:t>
            </w:r>
          </w:p>
        </w:tc>
      </w:tr>
    </w:tbl>
    <w:bookmarkEnd w:id="107"/>
    <w:bookmarkStart w:id="108" w:name="all-seven-documented-paths"/>
    <w:p>
      <w:pPr>
        <w:pStyle w:val="Heading3"/>
      </w:pPr>
      <w:r>
        <w:t xml:space="preserve">All seven documented paths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Path</w:t>
            </w:r>
          </w:p>
        </w:tc>
        <w:tc>
          <w:tcPr>
            <w:tcW w:type="dxa" w:w="2749"/>
            <w:shd w:fill="EAE5DA"/>
          </w:tcPr>
          <w:p>
            <w:pPr>
              <w:pStyle w:val="BodyText"/>
              <w:keepNext w:val="0"/>
              <w:spacing w:after="80" w:line="252" w:lineRule="auto"/>
              <w:jc w:val="left"/>
            </w:pPr>
            <w:r>
              <w:rPr>
                <w:rFonts w:ascii="Calibri" w:hAnsi="Calibri"/>
                <w:b/>
                <w:sz w:val="17"/>
              </w:rPr>
              <w:t xml:space="preserve">Required commitments</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Scope / qualification</w:t>
            </w:r>
          </w:p>
        </w:tc>
      </w:tr>
      <w:tr>
        <w:tc>
          <w:tcPr>
            <w:tcW w:type="dxa" w:w="1689"/>
          </w:tcPr>
          <w:p>
            <w:pPr>
              <w:pStyle w:val="BodyText"/>
              <w:keepNext w:val="0"/>
              <w:spacing w:after="80" w:line="252" w:lineRule="auto"/>
              <w:jc w:val="left"/>
            </w:pPr>
            <w:r>
              <w:rPr>
                <w:rFonts w:ascii="Calibri" w:hAnsi="Calibri"/>
                <w:sz w:val="17"/>
              </w:rPr>
              <w:t xml:space="preserve">Minimal noncomposition</w:t>
            </w:r>
          </w:p>
        </w:tc>
        <w:tc>
          <w:tcPr>
            <w:tcW w:type="dxa" w:w="2749"/>
          </w:tcPr>
          <w:p>
            <w:pPr>
              <w:pStyle w:val="BodyText"/>
              <w:keepNext w:val="0"/>
              <w:spacing w:after="80" w:line="252" w:lineRule="auto"/>
              <w:jc w:val="left"/>
            </w:pPr>
            <w:r>
              <w:rPr>
                <w:rFonts w:ascii="Calibri" w:hAnsi="Calibri"/>
                <w:sz w:val="17"/>
              </w:rPr>
              <w:t xml:space="preserve">U, KD</w:t>
            </w:r>
          </w:p>
        </w:tc>
        <w:tc>
          <w:tcPr>
            <w:tcW w:type="dxa" w:w="2749"/>
          </w:tcPr>
          <w:p>
            <w:pPr>
              <w:pStyle w:val="BodyText"/>
              <w:keepNext w:val="0"/>
              <w:spacing w:after="80" w:line="252" w:lineRule="auto"/>
              <w:jc w:val="left"/>
            </w:pPr>
            <w:r>
              <w:rPr>
                <w:rFonts w:ascii="Calibri" w:hAnsi="Calibri"/>
                <w:sz w:val="17"/>
              </w:rPr>
              <w:t xml:space="preserve">Conditional theorem</w:t>
            </w:r>
          </w:p>
        </w:tc>
        <w:tc>
          <w:tcPr>
            <w:tcW w:type="dxa" w:w="2749"/>
          </w:tcPr>
          <w:p>
            <w:pPr>
              <w:pStyle w:val="BodyText"/>
              <w:keepNext w:val="0"/>
              <w:spacing w:after="80" w:line="252" w:lineRule="auto"/>
              <w:jc w:val="left"/>
            </w:pPr>
            <w:r>
              <w:rPr>
                <w:rFonts w:ascii="Calibri" w:hAnsi="Calibri"/>
                <w:sz w:val="17"/>
              </w:rPr>
              <w:t xml:space="preserve">No proper intrinsic constituents, given the defended grounding bridge.</w:t>
            </w:r>
          </w:p>
        </w:tc>
      </w:tr>
      <w:tr>
        <w:tc>
          <w:tcPr>
            <w:tcW w:type="dxa" w:w="1689"/>
          </w:tcPr>
          <w:p>
            <w:pPr>
              <w:pStyle w:val="BodyText"/>
              <w:keepNext w:val="0"/>
              <w:spacing w:after="80" w:line="252" w:lineRule="auto"/>
              <w:jc w:val="left"/>
            </w:pPr>
            <w:r>
              <w:rPr>
                <w:rFonts w:ascii="Calibri" w:hAnsi="Calibri"/>
                <w:sz w:val="17"/>
              </w:rPr>
              <w:t xml:space="preserve">Finite non-exhaustion</w:t>
            </w:r>
          </w:p>
        </w:tc>
        <w:tc>
          <w:tcPr>
            <w:tcW w:type="dxa" w:w="2749"/>
          </w:tcPr>
          <w:p>
            <w:pPr>
              <w:pStyle w:val="BodyText"/>
              <w:keepNext w:val="0"/>
              <w:spacing w:after="80" w:line="252" w:lineRule="auto"/>
              <w:jc w:val="left"/>
            </w:pPr>
            <w:r>
              <w:rPr>
                <w:rFonts w:ascii="Calibri" w:hAnsi="Calibri"/>
                <w:sz w:val="17"/>
              </w:rPr>
              <w:t xml:space="preserve">F</w:t>
            </w:r>
          </w:p>
        </w:tc>
        <w:tc>
          <w:tcPr>
            <w:tcW w:type="dxa" w:w="2749"/>
          </w:tcPr>
          <w:p>
            <w:pPr>
              <w:pStyle w:val="BodyText"/>
              <w:keepNext w:val="0"/>
              <w:spacing w:after="80" w:line="252" w:lineRule="auto"/>
              <w:jc w:val="left"/>
            </w:pPr>
            <w:r>
              <w:rPr>
                <w:rFonts w:ascii="Calibri" w:hAnsi="Calibri"/>
                <w:sz w:val="17"/>
              </w:rPr>
              <w:t xml:space="preserve">Inherited conditional result</w:t>
            </w:r>
          </w:p>
        </w:tc>
        <w:tc>
          <w:tcPr>
            <w:tcW w:type="dxa" w:w="2749"/>
          </w:tcPr>
          <w:p>
            <w:pPr>
              <w:pStyle w:val="BodyText"/>
              <w:keepNext w:val="0"/>
              <w:spacing w:after="80" w:line="252" w:lineRule="auto"/>
              <w:jc w:val="left"/>
            </w:pPr>
            <w:r>
              <w:rPr>
                <w:rFonts w:ascii="Calibri" w:hAnsi="Calibri"/>
                <w:sz w:val="17"/>
              </w:rPr>
              <w:t xml:space="preserve">The selected source/receiver actuality measures are unequal; no contingency follows.</w:t>
            </w:r>
          </w:p>
        </w:tc>
      </w:tr>
      <w:tr>
        <w:tc>
          <w:tcPr>
            <w:tcW w:type="dxa" w:w="1689"/>
          </w:tcPr>
          <w:p>
            <w:pPr>
              <w:pStyle w:val="BodyText"/>
              <w:keepNext w:val="0"/>
              <w:spacing w:after="80" w:line="252" w:lineRule="auto"/>
              <w:jc w:val="left"/>
            </w:pPr>
            <w:r>
              <w:rPr>
                <w:rFonts w:ascii="Calibri" w:hAnsi="Calibri"/>
                <w:sz w:val="17"/>
              </w:rPr>
              <w:t xml:space="preserve">Whole-order alternatives</w:t>
            </w:r>
          </w:p>
        </w:tc>
        <w:tc>
          <w:tcPr>
            <w:tcW w:type="dxa" w:w="2749"/>
          </w:tcPr>
          <w:p>
            <w:pPr>
              <w:pStyle w:val="BodyText"/>
              <w:keepNext w:val="0"/>
              <w:spacing w:after="80" w:line="252" w:lineRule="auto"/>
              <w:jc w:val="left"/>
            </w:pPr>
            <w:r>
              <w:rPr>
                <w:rFonts w:ascii="Calibri" w:hAnsi="Calibri"/>
                <w:sz w:val="17"/>
              </w:rPr>
              <w:t xml:space="preserve">M</w:t>
            </w:r>
          </w:p>
        </w:tc>
        <w:tc>
          <w:tcPr>
            <w:tcW w:type="dxa" w:w="2749"/>
          </w:tcPr>
          <w:p>
            <w:pPr>
              <w:pStyle w:val="BodyText"/>
              <w:keepNext w:val="0"/>
              <w:spacing w:after="80" w:line="252" w:lineRule="auto"/>
              <w:jc w:val="left"/>
            </w:pPr>
            <w:r>
              <w:rPr>
                <w:rFonts w:ascii="Calibri" w:hAnsi="Calibri"/>
                <w:sz w:val="17"/>
              </w:rPr>
              <w:t xml:space="preserve">Additional modal premise</w:t>
            </w:r>
          </w:p>
        </w:tc>
        <w:tc>
          <w:tcPr>
            <w:tcW w:type="dxa" w:w="2749"/>
          </w:tcPr>
          <w:p>
            <w:pPr>
              <w:pStyle w:val="BodyText"/>
              <w:keepNext w:val="0"/>
              <w:spacing w:after="80" w:line="252" w:lineRule="auto"/>
              <w:jc w:val="left"/>
            </w:pPr>
            <w:r>
              <w:rPr>
                <w:rFonts w:ascii="Calibri" w:hAnsi="Calibri"/>
                <w:sz w:val="17"/>
              </w:rPr>
              <w:t xml:space="preserve">This is a disclosed extension, not a conclusion from infinity.</w:t>
            </w:r>
          </w:p>
        </w:tc>
      </w:tr>
      <w:tr>
        <w:tc>
          <w:tcPr>
            <w:tcW w:type="dxa" w:w="1689"/>
          </w:tcPr>
          <w:p>
            <w:pPr>
              <w:pStyle w:val="BodyText"/>
              <w:keepNext w:val="0"/>
              <w:spacing w:after="80" w:line="252" w:lineRule="auto"/>
              <w:jc w:val="left"/>
            </w:pPr>
            <w:r>
              <w:rPr>
                <w:rFonts w:ascii="Calibri" w:hAnsi="Calibri"/>
                <w:sz w:val="17"/>
              </w:rPr>
              <w:t xml:space="preserve">Intelligent intentional action</w:t>
            </w:r>
          </w:p>
        </w:tc>
        <w:tc>
          <w:tcPr>
            <w:tcW w:type="dxa" w:w="2749"/>
          </w:tcPr>
          <w:p>
            <w:pPr>
              <w:pStyle w:val="BodyText"/>
              <w:keepNext w:val="0"/>
              <w:spacing w:after="80" w:line="252" w:lineRule="auto"/>
              <w:jc w:val="left"/>
            </w:pPr>
            <w:r>
              <w:rPr>
                <w:rFonts w:ascii="Calibri" w:hAnsi="Calibri"/>
                <w:sz w:val="17"/>
              </w:rPr>
              <w:t xml:space="preserve">M, I, A</w:t>
            </w:r>
          </w:p>
        </w:tc>
        <w:tc>
          <w:tcPr>
            <w:tcW w:type="dxa" w:w="2749"/>
          </w:tcPr>
          <w:p>
            <w:pPr>
              <w:pStyle w:val="BodyText"/>
              <w:keepNext w:val="0"/>
              <w:spacing w:after="80" w:line="252" w:lineRule="auto"/>
              <w:jc w:val="left"/>
            </w:pPr>
            <w:r>
              <w:rPr>
                <w:rFonts w:ascii="Calibri" w:hAnsi="Calibri"/>
                <w:sz w:val="17"/>
              </w:rPr>
              <w:t xml:space="preserve">Conditional agency account</w:t>
            </w:r>
          </w:p>
        </w:tc>
        <w:tc>
          <w:tcPr>
            <w:tcW w:type="dxa" w:w="2749"/>
          </w:tcPr>
          <w:p>
            <w:pPr>
              <w:pStyle w:val="BodyText"/>
              <w:keepNext w:val="0"/>
              <w:spacing w:after="80" w:line="252" w:lineRule="auto"/>
              <w:jc w:val="left"/>
            </w:pPr>
            <w:r>
              <w:rPr>
                <w:rFonts w:ascii="Calibri" w:hAnsi="Calibri"/>
                <w:sz w:val="17"/>
              </w:rPr>
              <w:t xml:space="preserve">A control and intelligibility model is added; these are not established by the source profile.</w:t>
            </w:r>
          </w:p>
        </w:tc>
      </w:tr>
      <w:tr>
        <w:tc>
          <w:tcPr>
            <w:tcW w:type="dxa" w:w="1689"/>
          </w:tcPr>
          <w:p>
            <w:pPr>
              <w:pStyle w:val="BodyText"/>
              <w:keepNext w:val="0"/>
              <w:spacing w:after="80" w:line="252" w:lineRule="auto"/>
              <w:jc w:val="left"/>
            </w:pPr>
            <w:r>
              <w:rPr>
                <w:rFonts w:ascii="Calibri" w:hAnsi="Calibri"/>
                <w:sz w:val="17"/>
              </w:rPr>
              <w:t xml:space="preserve">The agent intentionally produces this effect</w:t>
            </w:r>
          </w:p>
        </w:tc>
        <w:tc>
          <w:tcPr>
            <w:tcW w:type="dxa" w:w="2749"/>
          </w:tcPr>
          <w:p>
            <w:pPr>
              <w:pStyle w:val="BodyText"/>
              <w:keepNext w:val="0"/>
              <w:spacing w:after="80" w:line="252" w:lineRule="auto"/>
              <w:jc w:val="left"/>
            </w:pPr>
            <w:r>
              <w:rPr>
                <w:rFonts w:ascii="Calibri" w:hAnsi="Calibri"/>
                <w:sz w:val="17"/>
              </w:rPr>
              <w:t xml:space="preserve">M, I, A, T</w:t>
            </w:r>
          </w:p>
        </w:tc>
        <w:tc>
          <w:tcPr>
            <w:tcW w:type="dxa" w:w="2749"/>
          </w:tcPr>
          <w:p>
            <w:pPr>
              <w:pStyle w:val="BodyText"/>
              <w:keepNext w:val="0"/>
              <w:spacing w:after="80" w:line="252" w:lineRule="auto"/>
              <w:jc w:val="left"/>
            </w:pPr>
            <w:r>
              <w:rPr>
                <w:rFonts w:ascii="Calibri" w:hAnsi="Calibri"/>
                <w:sz w:val="17"/>
              </w:rPr>
              <w:t xml:space="preserve">Candidate specification account</w:t>
            </w:r>
          </w:p>
        </w:tc>
        <w:tc>
          <w:tcPr>
            <w:tcW w:type="dxa" w:w="2749"/>
          </w:tcPr>
          <w:p>
            <w:pPr>
              <w:pStyle w:val="BodyText"/>
              <w:keepNext w:val="0"/>
              <w:spacing w:after="80" w:line="252" w:lineRule="auto"/>
              <w:jc w:val="left"/>
            </w:pPr>
            <w:r>
              <w:rPr>
                <w:rFonts w:ascii="Calibri" w:hAnsi="Calibri"/>
                <w:sz w:val="17"/>
              </w:rPr>
              <w:t xml:space="preserve">The added premise connects the chosen plan to the actual effect.</w:t>
            </w:r>
          </w:p>
        </w:tc>
      </w:tr>
      <w:tr>
        <w:tc>
          <w:tcPr>
            <w:tcW w:type="dxa" w:w="1689"/>
          </w:tcPr>
          <w:p>
            <w:pPr>
              <w:pStyle w:val="BodyText"/>
              <w:keepNext w:val="0"/>
              <w:spacing w:after="80" w:line="252" w:lineRule="auto"/>
              <w:jc w:val="left"/>
            </w:pPr>
            <w:r>
              <w:rPr>
                <w:rFonts w:ascii="Calibri" w:hAnsi="Calibri"/>
                <w:sz w:val="17"/>
              </w:rPr>
              <w:t xml:space="preserve">Action with the same intrinsic source actuality</w:t>
            </w:r>
          </w:p>
        </w:tc>
        <w:tc>
          <w:tcPr>
            <w:tcW w:type="dxa" w:w="2749"/>
          </w:tcPr>
          <w:p>
            <w:pPr>
              <w:pStyle w:val="BodyText"/>
              <w:keepNext w:val="0"/>
              <w:spacing w:after="80" w:line="252" w:lineRule="auto"/>
              <w:jc w:val="left"/>
            </w:pPr>
            <w:r>
              <w:rPr>
                <w:rFonts w:ascii="Calibri" w:hAnsi="Calibri"/>
                <w:sz w:val="17"/>
              </w:rPr>
              <w:t xml:space="preserve">U, KD, M, I, A, T, X</w:t>
            </w:r>
          </w:p>
        </w:tc>
        <w:tc>
          <w:tcPr>
            <w:tcW w:type="dxa" w:w="2749"/>
          </w:tcPr>
          <w:p>
            <w:pPr>
              <w:pStyle w:val="BodyText"/>
              <w:keepNext w:val="0"/>
              <w:spacing w:after="80" w:line="252" w:lineRule="auto"/>
              <w:jc w:val="left"/>
            </w:pPr>
            <w:r>
              <w:rPr>
                <w:rFonts w:ascii="Calibri" w:hAnsi="Calibri"/>
                <w:sz w:val="17"/>
              </w:rPr>
              <w:t xml:space="preserve">Candidate compatibility model</w:t>
            </w:r>
          </w:p>
        </w:tc>
        <w:tc>
          <w:tcPr>
            <w:tcW w:type="dxa" w:w="2749"/>
          </w:tcPr>
          <w:p>
            <w:pPr>
              <w:pStyle w:val="BodyText"/>
              <w:keepNext w:val="0"/>
              <w:spacing w:after="80" w:line="252" w:lineRule="auto"/>
              <w:jc w:val="left"/>
            </w:pPr>
            <w:r>
              <w:rPr>
                <w:rFonts w:ascii="Calibri" w:hAnsi="Calibri"/>
                <w:sz w:val="17"/>
              </w:rPr>
              <w:t xml:space="preserve">The relational account of intentional action still needs philosophical defense.</w:t>
            </w:r>
          </w:p>
        </w:tc>
      </w:tr>
      <w:tr>
        <w:tc>
          <w:tcPr>
            <w:tcW w:type="dxa" w:w="1689"/>
          </w:tcPr>
          <w:p>
            <w:pPr>
              <w:pStyle w:val="BodyText"/>
              <w:keepNext w:val="0"/>
              <w:spacing w:after="80" w:line="252" w:lineRule="auto"/>
              <w:jc w:val="left"/>
            </w:pPr>
            <w:r>
              <w:rPr>
                <w:rFonts w:ascii="Calibri" w:hAnsi="Calibri"/>
                <w:sz w:val="17"/>
              </w:rPr>
              <w:t xml:space="preserve">Knowledge of the effect without learning from it</w:t>
            </w:r>
          </w:p>
        </w:tc>
        <w:tc>
          <w:tcPr>
            <w:tcW w:type="dxa" w:w="2749"/>
          </w:tcPr>
          <w:p>
            <w:pPr>
              <w:pStyle w:val="BodyText"/>
              <w:keepNext w:val="0"/>
              <w:spacing w:after="80" w:line="252" w:lineRule="auto"/>
              <w:jc w:val="left"/>
            </w:pPr>
            <w:r>
              <w:rPr>
                <w:rFonts w:ascii="Calibri" w:hAnsi="Calibri"/>
                <w:sz w:val="17"/>
              </w:rPr>
              <w:t xml:space="preserve">I, A, T, R, CT, EP</w:t>
            </w:r>
          </w:p>
        </w:tc>
        <w:tc>
          <w:tcPr>
            <w:tcW w:type="dxa" w:w="2749"/>
          </w:tcPr>
          <w:p>
            <w:pPr>
              <w:pStyle w:val="BodyText"/>
              <w:keepNext w:val="0"/>
              <w:spacing w:after="80" w:line="252" w:lineRule="auto"/>
              <w:jc w:val="left"/>
            </w:pPr>
            <w:r>
              <w:rPr>
                <w:rFonts w:ascii="Calibri" w:hAnsi="Calibri"/>
                <w:sz w:val="17"/>
              </w:rPr>
              <w:t xml:space="preserve">Conditional epistemic account</w:t>
            </w:r>
          </w:p>
        </w:tc>
        <w:tc>
          <w:tcPr>
            <w:tcW w:type="dxa" w:w="2749"/>
          </w:tcPr>
          <w:p>
            <w:pPr>
              <w:pStyle w:val="BodyText"/>
              <w:keepNext w:val="0"/>
              <w:spacing w:after="80" w:line="252" w:lineRule="auto"/>
              <w:jc w:val="left"/>
            </w:pPr>
            <w:r>
              <w:rPr>
                <w:rFonts w:ascii="Calibri" w:hAnsi="Calibri"/>
                <w:sz w:val="17"/>
              </w:rPr>
              <w:t xml:space="preserve">Awareness of the action, disclosure of its effect, and explicit warrant; this does not establish omniscience.</w:t>
            </w:r>
          </w:p>
        </w:tc>
      </w:tr>
    </w:tbl>
    <w:bookmarkEnd w:id="108"/>
    <w:bookmarkStart w:id="109" w:name="default-and-complete-selections"/>
    <w:p>
      <w:pPr>
        <w:pStyle w:val="Heading3"/>
      </w:pPr>
      <w:r>
        <w:t xml:space="preserve">Default and complete selections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Selection</w:t>
            </w:r>
          </w:p>
        </w:tc>
        <w:tc>
          <w:tcPr>
            <w:tcW w:type="dxa" w:w="3312"/>
            <w:shd w:fill="EAE5DA"/>
          </w:tcPr>
          <w:p>
            <w:pPr>
              <w:pStyle w:val="BodyText"/>
              <w:keepNext w:val="0"/>
              <w:spacing w:after="80" w:line="252" w:lineRule="auto"/>
              <w:jc w:val="left"/>
            </w:pPr>
            <w:r>
              <w:rPr>
                <w:rFonts w:ascii="Calibri" w:hAnsi="Calibri"/>
                <w:b/>
                <w:sz w:val="17"/>
              </w:rPr>
              <w:t xml:space="preserve">Commitments</w:t>
            </w:r>
          </w:p>
        </w:tc>
        <w:tc>
          <w:tcPr>
            <w:tcW w:type="dxa" w:w="3312"/>
            <w:shd w:fill="EAE5DA"/>
          </w:tcPr>
          <w:p>
            <w:pPr>
              <w:pStyle w:val="BodyText"/>
              <w:keepNext w:val="0"/>
              <w:spacing w:after="80" w:line="252" w:lineRule="auto"/>
              <w:jc w:val="left"/>
            </w:pPr>
            <w:r>
              <w:rPr>
                <w:rFonts w:ascii="Calibri" w:hAnsi="Calibri"/>
                <w:b/>
                <w:sz w:val="17"/>
              </w:rPr>
              <w:t xml:space="preserve">Available paths</w:t>
            </w:r>
          </w:p>
        </w:tc>
      </w:tr>
      <w:tr>
        <w:tc>
          <w:tcPr>
            <w:tcW w:type="dxa" w:w="3312"/>
          </w:tcPr>
          <w:p>
            <w:pPr>
              <w:pStyle w:val="BodyText"/>
              <w:keepNext w:val="0"/>
              <w:spacing w:after="80" w:line="252" w:lineRule="auto"/>
              <w:jc w:val="left"/>
            </w:pPr>
            <w:r>
              <w:rPr>
                <w:rFonts w:ascii="Calibri" w:hAnsi="Calibri"/>
                <w:sz w:val="17"/>
              </w:rPr>
              <w:t xml:space="preserve">Default inherited profile</w:t>
            </w:r>
          </w:p>
        </w:tc>
        <w:tc>
          <w:tcPr>
            <w:tcW w:type="dxa" w:w="3312"/>
          </w:tcPr>
          <w:p>
            <w:pPr>
              <w:pStyle w:val="BodyText"/>
              <w:keepNext w:val="0"/>
              <w:spacing w:after="80" w:line="252" w:lineRule="auto"/>
              <w:jc w:val="left"/>
            </w:pPr>
            <w:r>
              <w:rPr>
                <w:rFonts w:ascii="Calibri" w:hAnsi="Calibri"/>
                <w:sz w:val="17"/>
              </w:rPr>
              <w:t xml:space="preserve">U, KD, F, X</w:t>
            </w:r>
          </w:p>
        </w:tc>
        <w:tc>
          <w:tcPr>
            <w:tcW w:type="dxa" w:w="3312"/>
          </w:tcPr>
          <w:p>
            <w:pPr>
              <w:pStyle w:val="BodyText"/>
              <w:keepNext w:val="0"/>
              <w:spacing w:after="80" w:line="252" w:lineRule="auto"/>
              <w:jc w:val="left"/>
            </w:pPr>
            <w:r>
              <w:rPr>
                <w:rFonts w:ascii="Calibri" w:hAnsi="Calibri"/>
                <w:sz w:val="17"/>
              </w:rPr>
              <w:t xml:space="preserve">2 / 7</w:t>
            </w:r>
          </w:p>
        </w:tc>
      </w:tr>
      <w:tr>
        <w:tc>
          <w:tcPr>
            <w:tcW w:type="dxa" w:w="3312"/>
          </w:tcPr>
          <w:p>
            <w:pPr>
              <w:pStyle w:val="BodyText"/>
              <w:keepNext w:val="0"/>
              <w:spacing w:after="80" w:line="252" w:lineRule="auto"/>
              <w:jc w:val="left"/>
            </w:pPr>
            <w:r>
              <w:rPr>
                <w:rFonts w:ascii="Calibri" w:hAnsi="Calibri"/>
                <w:sz w:val="17"/>
              </w:rPr>
              <w:t xml:space="preserve">Every candidate commitment</w:t>
            </w:r>
          </w:p>
        </w:tc>
        <w:tc>
          <w:tcPr>
            <w:tcW w:type="dxa" w:w="3312"/>
          </w:tcPr>
          <w:p>
            <w:pPr>
              <w:pStyle w:val="BodyText"/>
              <w:keepNext w:val="0"/>
              <w:spacing w:after="80" w:line="252" w:lineRule="auto"/>
              <w:jc w:val="left"/>
            </w:pPr>
            <w:r>
              <w:rPr>
                <w:rFonts w:ascii="Calibri" w:hAnsi="Calibri"/>
                <w:sz w:val="17"/>
              </w:rPr>
              <w:t xml:space="preserve">U, KD, F, M, I, A, T, R, CT, X, EP</w:t>
            </w:r>
          </w:p>
        </w:tc>
        <w:tc>
          <w:tcPr>
            <w:tcW w:type="dxa" w:w="3312"/>
          </w:tcPr>
          <w:p>
            <w:pPr>
              <w:pStyle w:val="BodyText"/>
              <w:keepNext w:val="0"/>
              <w:spacing w:after="80" w:line="252" w:lineRule="auto"/>
              <w:jc w:val="left"/>
            </w:pPr>
            <w:r>
              <w:rPr>
                <w:rFonts w:ascii="Calibri" w:hAnsi="Calibri"/>
                <w:sz w:val="17"/>
              </w:rPr>
              <w:t xml:space="preserve">7 / 7</w:t>
            </w:r>
          </w:p>
        </w:tc>
      </w:tr>
    </w:tbl>
    <w:p>
      <w:pPr>
        <w:pStyle w:val="BodyText"/>
      </w:pPr>
      <w:r>
        <w:t xml:space="preserve">Still open with every box selected: full simplicity beyond defended dependence arguments; how particular intentional actions can occur without a difference in intrinsic source actuality; adequate knowledge of all secondary free acts and all truths.</w:t>
      </w:r>
    </w:p>
    <w:bookmarkEnd w:id="109"/>
    <w:bookmarkStart w:id="113" w:name="all-three-modal-scenarios"/>
    <w:p>
      <w:pPr>
        <w:pStyle w:val="Heading3"/>
      </w:pPr>
      <w:r>
        <w:t xml:space="preserve">All three modal scenarios</w:t>
      </w:r>
    </w:p>
    <w:bookmarkStart w:id="110" w:name="X2c565368dbe88e7ce17c7f492b422970076b925"/>
    <w:p>
      <w:pPr>
        <w:pStyle w:val="Heading4"/>
      </w:pPr>
      <w:r>
        <w:t xml:space="preserve">An inexhaustible source; a necessary cosmos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g → A</w:t>
            </w:r>
          </w:p>
        </w:tc>
      </w:tr>
    </w:tbl>
    <w:p>
      <w:pPr>
        <w:pStyle w:val="BodyText"/>
      </w:pPr>
      <w:r>
        <w:t xml:space="preserve">Every admitted situation contains A. The source stays unbounded and noncomposite; A is finite and source-dependent. Non-exhaustion holds, but A has no accessible absence. This checked sparse interpretation satisfies the original nine clauses.</w:t>
      </w:r>
    </w:p>
    <w:bookmarkEnd w:id="110"/>
    <w:bookmarkStart w:id="111" w:name="X2f9e3197013277bf1c7748a321097405e0da345"/>
    <w:p>
      <w:pPr>
        <w:pStyle w:val="Heading4"/>
      </w:pPr>
      <w:r>
        <w:t xml:space="preserve">Different whole orders; one common necessary effect</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{a,b}</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{a,c}</w:t>
            </w:r>
          </w:p>
        </w:tc>
      </w:tr>
    </w:tbl>
    <w:p>
      <w:pPr>
        <w:pStyle w:val="BodyText"/>
      </w:pPr>
      <w:r>
        <w:t xml:space="preserve">These worlds differ, but a appears in both. Different created orders do not establish contingency of every finite expression. The original source profile can hold in both.</w:t>
      </w:r>
    </w:p>
    <w:bookmarkEnd w:id="111"/>
    <w:bookmarkStart w:id="112" w:name="a-live-no-creation-alternative"/>
    <w:p>
      <w:pPr>
        <w:pStyle w:val="Heading4"/>
      </w:pPr>
      <w:r>
        <w:t xml:space="preserve">A live no-creation alternative</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Alternative</w:t>
            </w:r>
          </w:p>
        </w:tc>
        <w:tc>
          <w:tcPr>
            <w:tcW w:type="dxa" w:w="7452"/>
            <w:shd w:fill="EAE5DA"/>
          </w:tcPr>
          <w:p>
            <w:pPr>
              <w:pStyle w:val="BodyText"/>
              <w:keepNext w:val="0"/>
              <w:spacing w:after="80" w:line="252" w:lineRule="auto"/>
              <w:jc w:val="left"/>
            </w:pPr>
            <w:r>
              <w:rPr>
                <w:rFonts w:ascii="Calibri" w:hAnsi="Calibri"/>
                <w:b/>
                <w:sz w:val="17"/>
              </w:rPr>
              <w:t xml:space="preserve">Assigned world label</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g → 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g → B</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g alone</w:t>
            </w:r>
          </w:p>
        </w:tc>
      </w:tr>
    </w:tbl>
    <w:p>
      <w:pPr>
        <w:pStyle w:val="BodyText"/>
      </w:pPr>
      <w:r>
        <w:t xml:space="preserve">No created effect appears in the final admitted situation. This stronger stipulated modal extension supplies omissions of both A and B. Its semantic consistency is checked; its metaphysical possibility must still be independently warranted.</w:t>
      </w:r>
    </w:p>
    <w:p>
      <w:pPr>
        <w:pStyle w:val="BodyText"/>
      </w:pPr>
      <w:r>
        <w:t xml:space="preserve">An alternate route discovered in the audit: in the sparse domain where every actual other is created, a no-creation world has no proper source constituents. If X preserves the entire constituent profile across all alternatives, noncomposition follows elsewhere too. This does not prove KD for all composites; it shows why deletion must check for retained substitutes.</w:t>
      </w:r>
    </w:p>
    <w:bookmarkEnd w:id="112"/>
    <w:bookmarkEnd w:id="113"/>
    <w:bookmarkEnd w:id="114"/>
    <w:p>
      <w:pPr>
        <w:pStyle w:val="Heading1"/>
      </w:pPr>
      <w:r>
        <w:t xml:space="preserve">Appendix A — beyond-report.md</w:t>
      </w:r>
    </w:p>
    <w:p>
      <w:pPr>
        <w:pStyle w:val="FirstParagraph"/>
      </w:pPr>
      <w:r>
        <w:t xml:space="preserve">Original research file: https:/​/​participation-​6o4.​pages.​dev/​research/​beyond-​report.​md</w:t>
      </w:r>
    </w:p>
    <w:bookmarkStart w:id="136" w:name="Xe03c05280ee618058fb3d120ec70b7c92343db0"/>
    <w:p>
      <w:pPr>
        <w:pStyle w:val="Heading2"/>
      </w:pPr>
      <w:r>
        <w:t xml:space="preserve">Beyond Participation: Divine Simplicity and Freedom</w:t>
      </w:r>
    </w:p>
    <w:p>
      <w:pPr>
        <w:pStyle w:val="FirstParagraph"/>
      </w:pPr>
      <w:r>
        <w:t xml:space="preserve">A constructive, conditional research synthesis with independently identified questions about action and knowledge. The starting claims about the source are assumed; they are not a proof of its existence.</w:t>
      </w:r>
    </w:p>
    <w:p>
      <w:pPr>
        <w:pStyle w:val="BlockText"/>
      </w:pPr>
      <w:r>
        <w:t xml:space="preserve">What would establish that an underived source is simple without being empty, and freely knows and causes this creation without receiving perfection from it? Which further principle would explain different complete creative actions if the source’s intrinsic actuality remains the same?</w:t>
      </w:r>
    </w:p>
    <w:bookmarkStart w:id="115" w:name="a-second-inquiry.-a-different-burden."/>
    <w:p>
      <w:pPr>
        <w:pStyle w:val="Heading3"/>
      </w:pPr>
      <w:r>
        <w:t xml:space="preserve">00 / A second inquiry. A different burden.</w:t>
      </w:r>
    </w:p>
    <w:p>
      <w:pPr>
        <w:pStyle w:val="FirstParagraph"/>
      </w:pPr>
      <w:r>
        <w:rPr>
          <w:b/>
          <w:bCs/>
        </w:rPr>
        <w:t xml:space="preserve">Status:</w:t>
      </w:r>
      <w:r>
        <w:t xml:space="preserve"> </w:t>
      </w:r>
      <w:r>
        <w:t xml:space="preserve">Conditional starting point.</w:t>
      </w:r>
    </w:p>
    <w:p>
      <w:pPr>
        <w:pStyle w:val="BodyText"/>
      </w:pPr>
      <w:r>
        <w:t xml:space="preserve">Participation concerns real received possession. This inquiry asks what further arguments would establish a simple, intelligent source whose creative action is genuinely free.</w:t>
      </w:r>
    </w:p>
    <w:p>
      <w:pPr>
        <w:pStyle w:val="BodyText"/>
      </w:pPr>
      <w:r>
        <w:t xml:space="preserve">A creature can possess received actuality without being a piece of its source. The first investigation explained this through explicit causal, qualitative, and constitutive premises. It adopted an underived, unlimited source; it did not prove the whole doctrine of God from participation. Its relevant subtheorem is exact: if proper intrinsic constituents ground a whole’s actuality, an absolutely underived source has no such constituents.</w:t>
      </w:r>
    </w:p>
    <w:p>
      <w:pPr>
        <w:pStyle w:val="BodyText"/>
      </w:pPr>
      <w:r>
        <w:t xml:space="preserve">The broader simplicity inquiry asks what could still make that source actual, one, existent, determinate, or perfect. Its six classical accomplishments examine different kinds of proposed conditioning. They form a cumulative case with substantive metaphysical premises. They do not identify every distinction with a part, or every source-relative fact with an acquired divine perfection.</w:t>
      </w:r>
    </w:p>
    <w:p>
      <w:pPr>
        <w:pStyle w:val="BodyText"/>
      </w:pPr>
      <w:r>
        <w:t xml:space="preserve">The positive aim matters just as much. Being determinate is different from being made determinate by something more basic. If wisdom belongs to the source, simplicity asks how it belongs without an added actualizer. Wisdom and power can differ in meaning while having one concrete divine realization. That possibility preserves meaningful predication; the actual possession of each perfection still needs its own argument.</w:t>
      </w:r>
    </w:p>
    <w:p>
      <w:pPr>
        <w:pStyle w:val="BodyText"/>
      </w:pPr>
      <w:r>
        <w:t xml:space="preserve">Freedom raises another question. A source could remain undivided and inexhaustible while necessarily producing one finite cosmos. A philosophy of creative agency must distinguish possible alternatives, reasons for giving, the agent’s actual choice, and its successful execution. An intention’s infallible execution does not make the intention itself necessary.</w:t>
      </w:r>
    </w:p>
    <w:p>
      <w:pPr>
        <w:pStyle w:val="BodyText"/>
      </w:pPr>
      <w:r>
        <w:t xml:space="preserve">The constructive proposal treats a complete creative action as intentionally directed toward its effect. The source originates that direction; the finished world does not retrospectively supply it. The difficult claim is that different complete actions can differ relationally without requiring different intrinsic divine actualities. Noncomposition alone does not establish this stronger account.</w:t>
      </w:r>
    </w:p>
    <w:p>
      <w:pPr>
        <w:pStyle w:val="BodyText"/>
      </w:pPr>
      <w:r>
        <w:t xml:space="preserve">Knowledge adds a further requirement: an intelligent source must know its actual action and what that action accomplishes, not merely every possible plan. Productive knowledge explains a created effect through the agent’s warranted awareness of its efficacious intention. Its scope extends only as far as that awareness adequately discloses the effect.</w:t>
      </w:r>
    </w:p>
    <w:p>
      <w:pPr>
        <w:pStyle w:val="BodyText"/>
      </w:pPr>
      <w:r>
        <w:t xml:space="preserve">The historical resources are exemplary at different joints. Aquinas and Anselm sharpen constitution and rational action; Scotus sharpens live contingency; Augustine and Maximus connect exemplar intelligence with determinate possibilities; Dionysius, Bonaventure, Nyssa, Eriugena, and Przywara preserve communication without exhaustion. Newman supplies an analogical test of continuity. The final synthesis is ours: its value depends on what its bridges explain and which rivals they actually exclude.</w:t>
      </w:r>
    </w:p>
    <w:bookmarkEnd w:id="115"/>
    <w:bookmarkStart w:id="116" w:name="what-part-i-actually-gives-us."/>
    <w:p>
      <w:pPr>
        <w:pStyle w:val="Heading3"/>
      </w:pPr>
      <w:r>
        <w:t xml:space="preserve">01 / What Part I actually gives us.</w:t>
      </w:r>
    </w:p>
    <w:p>
      <w:pPr>
        <w:pStyle w:val="FirstParagraph"/>
      </w:pPr>
      <w:r>
        <w:rPr>
          <w:b/>
          <w:bCs/>
        </w:rPr>
        <w:t xml:space="preserve">Status:</w:t>
      </w:r>
      <w:r>
        <w:t xml:space="preserve"> </w:t>
      </w:r>
      <w:r>
        <w:t xml:space="preserve">Inherited premises.</w:t>
      </w:r>
    </w:p>
    <w:p>
      <w:pPr>
        <w:pStyle w:val="BodyText"/>
      </w:pPr>
      <w:r>
        <w:t xml:space="preserve">Inherited results retain their premises. The source’s existence, universality, and positive perfections require arguments beyond the participation model.</w:t>
      </w:r>
    </w:p>
    <w:p>
      <w:pPr>
        <w:pStyle w:val="BodyText"/>
      </w:pPr>
      <w:r>
        <w:t xml:space="preserve">G and CP yield present created dependence; Q supplies the qualitative bridge required for causal likeness; U excludes constitutive grounding of the source. KD + U yield noncomposition. KH + FS + FC exclude the unlimited source as a constituent of bounded created actuality. Each conclusion answers a particular question. Dependence does not supply likeness, and likeness does not establish identity.</w:t>
      </w:r>
    </w:p>
    <w:p>
      <w:pPr>
        <w:pStyle w:val="BodyText"/>
      </w:pPr>
      <w:r>
        <w:t xml:space="preserve">A local underived ground would not yet establish one universal source. That ascent needs explanatory completion, an argument about the scope of existential dependence, and a separate uniqueness argument. This page inherits the universal source profile to investigate its implications. It neither proves that ascent nor treats</w:t>
      </w:r>
      <w:r>
        <w:t xml:space="preserve"> </w:t>
      </w:r>
      <w:r>
        <w:t xml:space="preserve">“</w:t>
      </w:r>
      <w:r>
        <w:t xml:space="preserve">source</w:t>
      </w:r>
      <w:r>
        <w:t xml:space="preserve">”</w:t>
      </w:r>
      <w:r>
        <w:t xml:space="preserve"> </w:t>
      </w:r>
      <w:r>
        <w:t xml:space="preserve">as a definition containing its conclusion.</w:t>
      </w:r>
    </w:p>
    <w:p>
      <w:pPr>
        <w:pStyle w:val="BodyText"/>
      </w:pPr>
      <w:r>
        <w:t xml:space="preserve">X is stronger than noncomposition: the source’s intrinsic actuality remains the same across the possible created outcomes being considered. An intrinsic property could vary between possible worlds without being a part or being acquired in time. X excludes that variation, but supplies neither possible alternatives nor the actual direction of the source’s intention.</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Premises</w:t>
            </w:r>
          </w:p>
        </w:tc>
        <w:tc>
          <w:tcPr>
            <w:tcW w:type="dxa" w:w="2749"/>
            <w:shd w:fill="EAE5DA"/>
          </w:tcPr>
          <w:p>
            <w:pPr>
              <w:pStyle w:val="BodyText"/>
              <w:keepNext w:val="0"/>
              <w:spacing w:after="80" w:line="252" w:lineRule="auto"/>
              <w:jc w:val="left"/>
            </w:pPr>
            <w:r>
              <w:rPr>
                <w:rFonts w:ascii="Calibri" w:hAnsi="Calibri"/>
                <w:b/>
                <w:sz w:val="17"/>
              </w:rPr>
              <w:t xml:space="preserve">Claim</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G + CP</w:t>
            </w:r>
          </w:p>
        </w:tc>
        <w:tc>
          <w:tcPr>
            <w:tcW w:type="dxa" w:w="2749"/>
          </w:tcPr>
          <w:p>
            <w:pPr>
              <w:pStyle w:val="BodyText"/>
              <w:keepNext w:val="0"/>
              <w:spacing w:after="80" w:line="252" w:lineRule="auto"/>
              <w:jc w:val="left"/>
            </w:pPr>
            <w:r>
              <w:rPr>
                <w:rFonts w:ascii="Calibri" w:hAnsi="Calibri"/>
                <w:sz w:val="17"/>
              </w:rPr>
              <w:t xml:space="preserve">Present source dependence</w:t>
            </w:r>
          </w:p>
        </w:tc>
        <w:tc>
          <w:tcPr>
            <w:tcW w:type="dxa" w:w="2749"/>
          </w:tcPr>
          <w:p>
            <w:pPr>
              <w:pStyle w:val="BodyText"/>
              <w:keepNext w:val="0"/>
              <w:spacing w:after="80" w:line="252" w:lineRule="auto"/>
              <w:jc w:val="left"/>
            </w:pPr>
            <w:r>
              <w:rPr>
                <w:rFonts w:ascii="Calibri" w:hAnsi="Calibri"/>
                <w:sz w:val="17"/>
              </w:rPr>
              <w:t xml:space="preserve">Inherited premises</w:t>
            </w:r>
          </w:p>
        </w:tc>
        <w:tc>
          <w:tcPr>
            <w:tcW w:type="dxa" w:w="2749"/>
          </w:tcPr>
          <w:p>
            <w:pPr>
              <w:pStyle w:val="BodyText"/>
              <w:keepNext w:val="0"/>
              <w:spacing w:after="80" w:line="252" w:lineRule="auto"/>
              <w:jc w:val="left"/>
            </w:pPr>
            <w:r>
              <w:rPr>
                <w:rFonts w:ascii="Calibri" w:hAnsi="Calibri"/>
                <w:sz w:val="17"/>
              </w:rPr>
              <w:t xml:space="preserve">Universal sourcing and causal dependence are adopted, not proved by</w:t>
            </w:r>
            <w:r>
              <w:rPr>
                <w:rFonts w:ascii="Calibri" w:hAnsi="Calibri"/>
                <w:sz w:val="17"/>
              </w:rPr>
              <w:t xml:space="preserve"> </w:t>
            </w:r>
            <w:r>
              <w:rPr>
                <w:rFonts w:ascii="Calibri" w:hAnsi="Calibri"/>
                <w:sz w:val="17"/>
              </w:rPr>
              <w:t xml:space="preserve">“</w:t>
            </w:r>
            <w:r>
              <w:rPr>
                <w:rFonts w:ascii="Calibri" w:hAnsi="Calibri"/>
                <w:sz w:val="17"/>
              </w:rPr>
              <w:t xml:space="preserve">participation.</w:t>
            </w:r>
            <w:r>
              <w:rPr>
                <w:rFonts w:ascii="Calibri" w:hAnsi="Calibri"/>
                <w:sz w:val="17"/>
              </w:rPr>
              <w:t xml:space="preserve">”</w:t>
            </w:r>
          </w:p>
        </w:tc>
      </w:tr>
      <w:tr>
        <w:tc>
          <w:tcPr>
            <w:tcW w:type="dxa" w:w="1689"/>
          </w:tcPr>
          <w:p>
            <w:pPr>
              <w:pStyle w:val="BodyText"/>
              <w:keepNext w:val="0"/>
              <w:spacing w:after="80" w:line="252" w:lineRule="auto"/>
              <w:jc w:val="left"/>
            </w:pPr>
            <w:r>
              <w:rPr>
                <w:rFonts w:ascii="Calibri" w:hAnsi="Calibri"/>
                <w:sz w:val="17"/>
              </w:rPr>
              <w:t xml:space="preserve">Q</w:t>
            </w:r>
          </w:p>
        </w:tc>
        <w:tc>
          <w:tcPr>
            <w:tcW w:type="dxa" w:w="2749"/>
          </w:tcPr>
          <w:p>
            <w:pPr>
              <w:pStyle w:val="BodyText"/>
              <w:keepNext w:val="0"/>
              <w:spacing w:after="80" w:line="252" w:lineRule="auto"/>
              <w:jc w:val="left"/>
            </w:pPr>
            <w:r>
              <w:rPr>
                <w:rFonts w:ascii="Calibri" w:hAnsi="Calibri"/>
                <w:sz w:val="17"/>
              </w:rPr>
              <w:t xml:space="preserve">Positive causal likeness</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Does not turn efficient causation alone into resemblance.</w:t>
            </w:r>
          </w:p>
        </w:tc>
      </w:tr>
      <w:tr>
        <w:tc>
          <w:tcPr>
            <w:tcW w:type="dxa" w:w="1689"/>
          </w:tcPr>
          <w:p>
            <w:pPr>
              <w:pStyle w:val="BodyText"/>
              <w:keepNext w:val="0"/>
              <w:spacing w:after="80" w:line="252" w:lineRule="auto"/>
              <w:jc w:val="left"/>
            </w:pPr>
            <w:r>
              <w:rPr>
                <w:rFonts w:ascii="Calibri" w:hAnsi="Calibri"/>
                <w:sz w:val="17"/>
              </w:rPr>
              <w:t xml:space="preserve">U + KD</w:t>
            </w:r>
          </w:p>
        </w:tc>
        <w:tc>
          <w:tcPr>
            <w:tcW w:type="dxa" w:w="2749"/>
          </w:tcPr>
          <w:p>
            <w:pPr>
              <w:pStyle w:val="BodyText"/>
              <w:keepNext w:val="0"/>
              <w:spacing w:after="80" w:line="252" w:lineRule="auto"/>
              <w:jc w:val="left"/>
            </w:pPr>
            <w:r>
              <w:rPr>
                <w:rFonts w:ascii="Calibri" w:hAnsi="Calibri"/>
                <w:sz w:val="17"/>
              </w:rPr>
              <w:t xml:space="preserve">No proper intrinsic source constituents</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KD’s constitution–dependence principle remains a philosophical burden.</w:t>
            </w:r>
          </w:p>
        </w:tc>
      </w:tr>
      <w:tr>
        <w:tc>
          <w:tcPr>
            <w:tcW w:type="dxa" w:w="1689"/>
          </w:tcPr>
          <w:p>
            <w:pPr>
              <w:pStyle w:val="BodyText"/>
              <w:keepNext w:val="0"/>
              <w:spacing w:after="80" w:line="252" w:lineRule="auto"/>
              <w:jc w:val="left"/>
            </w:pPr>
            <w:r>
              <w:rPr>
                <w:rFonts w:ascii="Calibri" w:hAnsi="Calibri"/>
                <w:sz w:val="17"/>
              </w:rPr>
              <w:t xml:space="preserve">KH + FS + FC</w:t>
            </w:r>
          </w:p>
        </w:tc>
        <w:tc>
          <w:tcPr>
            <w:tcW w:type="dxa" w:w="2749"/>
          </w:tcPr>
          <w:p>
            <w:pPr>
              <w:pStyle w:val="BodyText"/>
              <w:keepNext w:val="0"/>
              <w:spacing w:after="80" w:line="252" w:lineRule="auto"/>
              <w:jc w:val="left"/>
            </w:pPr>
            <w:r>
              <w:rPr>
                <w:rFonts w:ascii="Calibri" w:hAnsi="Calibri"/>
                <w:sz w:val="17"/>
              </w:rPr>
              <w:t xml:space="preserve">Source is no finite creature’s constituent</w:t>
            </w:r>
          </w:p>
        </w:tc>
        <w:tc>
          <w:tcPr>
            <w:tcW w:type="dxa" w:w="2749"/>
          </w:tcPr>
          <w:p>
            <w:pPr>
              <w:pStyle w:val="BodyText"/>
              <w:keepNext w:val="0"/>
              <w:spacing w:after="80" w:line="252" w:lineRule="auto"/>
              <w:jc w:val="left"/>
            </w:pPr>
            <w:r>
              <w:rPr>
                <w:rFonts w:ascii="Calibri" w:hAnsi="Calibri"/>
                <w:sz w:val="17"/>
              </w:rPr>
              <w:t xml:space="preserve">Conditional result</w:t>
            </w:r>
          </w:p>
        </w:tc>
        <w:tc>
          <w:tcPr>
            <w:tcW w:type="dxa" w:w="2749"/>
          </w:tcPr>
          <w:p>
            <w:pPr>
              <w:pStyle w:val="BodyText"/>
              <w:keepNext w:val="0"/>
              <w:spacing w:after="80" w:line="252" w:lineRule="auto"/>
              <w:jc w:val="left"/>
            </w:pPr>
            <w:r>
              <w:rPr>
                <w:rFonts w:ascii="Calibri" w:hAnsi="Calibri"/>
                <w:sz w:val="17"/>
              </w:rPr>
              <w:t xml:space="preserve">Different from merely saying that God has no parts.</w:t>
            </w:r>
          </w:p>
        </w:tc>
      </w:tr>
      <w:tr>
        <w:tc>
          <w:tcPr>
            <w:tcW w:type="dxa" w:w="1689"/>
          </w:tcPr>
          <w:p>
            <w:pPr>
              <w:pStyle w:val="BodyText"/>
              <w:keepNext w:val="0"/>
              <w:spacing w:after="80" w:line="252" w:lineRule="auto"/>
              <w:jc w:val="left"/>
            </w:pPr>
            <w:r>
              <w:rPr>
                <w:rFonts w:ascii="Calibri" w:hAnsi="Calibri"/>
                <w:sz w:val="17"/>
              </w:rPr>
              <w:t xml:space="preserve">FS / FC</w:t>
            </w:r>
          </w:p>
        </w:tc>
        <w:tc>
          <w:tcPr>
            <w:tcW w:type="dxa" w:w="2749"/>
          </w:tcPr>
          <w:p>
            <w:pPr>
              <w:pStyle w:val="BodyText"/>
              <w:keepNext w:val="0"/>
              <w:spacing w:after="80" w:line="252" w:lineRule="auto"/>
              <w:jc w:val="left"/>
            </w:pPr>
            <w:r>
              <w:rPr>
                <w:rFonts w:ascii="Calibri" w:hAnsi="Calibri"/>
                <w:sz w:val="17"/>
              </w:rPr>
              <w:t xml:space="preserve">Unbounded source / bounded created actuality</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Respect e; unlimited intellect requires another argument.</w:t>
            </w:r>
          </w:p>
        </w:tc>
      </w:tr>
      <w:tr>
        <w:tc>
          <w:tcPr>
            <w:tcW w:type="dxa" w:w="1689"/>
          </w:tcPr>
          <w:p>
            <w:pPr>
              <w:pStyle w:val="BodyText"/>
              <w:keepNext w:val="0"/>
              <w:spacing w:after="80" w:line="252" w:lineRule="auto"/>
              <w:jc w:val="left"/>
            </w:pPr>
            <w:r>
              <w:rPr>
                <w:rFonts w:ascii="Calibri" w:hAnsi="Calibri"/>
                <w:sz w:val="17"/>
              </w:rPr>
              <w:t xml:space="preserve">X</w:t>
            </w:r>
          </w:p>
        </w:tc>
        <w:tc>
          <w:tcPr>
            <w:tcW w:type="dxa" w:w="2749"/>
          </w:tcPr>
          <w:p>
            <w:pPr>
              <w:pStyle w:val="BodyText"/>
              <w:keepNext w:val="0"/>
              <w:spacing w:after="80" w:line="252" w:lineRule="auto"/>
              <w:jc w:val="left"/>
            </w:pPr>
            <w:r>
              <w:rPr>
                <w:rFonts w:ascii="Calibri" w:hAnsi="Calibri"/>
                <w:sz w:val="17"/>
              </w:rPr>
              <w:t xml:space="preserve">Same intrinsic actuality across possible outcomes</w:t>
            </w:r>
          </w:p>
        </w:tc>
        <w:tc>
          <w:tcPr>
            <w:tcW w:type="dxa" w:w="2749"/>
          </w:tcPr>
          <w:p>
            <w:pPr>
              <w:pStyle w:val="BodyText"/>
              <w:keepNext w:val="0"/>
              <w:spacing w:after="80" w:line="252" w:lineRule="auto"/>
              <w:jc w:val="left"/>
            </w:pPr>
            <w:r>
              <w:rPr>
                <w:rFonts w:ascii="Calibri" w:hAnsi="Calibri"/>
                <w:sz w:val="17"/>
              </w:rPr>
              <w:t xml:space="preserve">Inherited extension</w:t>
            </w:r>
          </w:p>
        </w:tc>
        <w:tc>
          <w:tcPr>
            <w:tcW w:type="dxa" w:w="2749"/>
          </w:tcPr>
          <w:p>
            <w:pPr>
              <w:pStyle w:val="BodyText"/>
              <w:keepNext w:val="0"/>
              <w:spacing w:after="80" w:line="252" w:lineRule="auto"/>
              <w:jc w:val="left"/>
            </w:pPr>
            <w:r>
              <w:rPr>
                <w:rFonts w:ascii="Calibri" w:hAnsi="Calibri"/>
                <w:sz w:val="17"/>
              </w:rPr>
              <w:t xml:space="preserve">Does not establish those alternatives or explain a particular intention.</w:t>
            </w:r>
          </w:p>
        </w:tc>
      </w:tr>
      <w:tr>
        <w:tc>
          <w:tcPr>
            <w:tcW w:type="dxa" w:w="1689"/>
          </w:tcPr>
          <w:p>
            <w:pPr>
              <w:pStyle w:val="BodyText"/>
              <w:keepNext w:val="0"/>
              <w:spacing w:after="80" w:line="252" w:lineRule="auto"/>
              <w:jc w:val="left"/>
            </w:pPr>
            <w:r>
              <w:rPr>
                <w:rFonts w:ascii="Calibri" w:hAnsi="Calibri"/>
                <w:sz w:val="17"/>
              </w:rPr>
              <w:t xml:space="preserve">V / W</w:t>
            </w:r>
          </w:p>
        </w:tc>
        <w:tc>
          <w:tcPr>
            <w:tcW w:type="dxa" w:w="2749"/>
          </w:tcPr>
          <w:p>
            <w:pPr>
              <w:pStyle w:val="BodyText"/>
              <w:keepNext w:val="0"/>
              <w:spacing w:after="80" w:line="252" w:lineRule="auto"/>
              <w:jc w:val="left"/>
            </w:pPr>
            <w:r>
              <w:rPr>
                <w:rFonts w:ascii="Calibri" w:hAnsi="Calibri"/>
                <w:sz w:val="17"/>
              </w:rPr>
              <w:t xml:space="preserve">No-creation alternatives / intelligent selection</w:t>
            </w:r>
          </w:p>
        </w:tc>
        <w:tc>
          <w:tcPr>
            <w:tcW w:type="dxa" w:w="2749"/>
          </w:tcPr>
          <w:p>
            <w:pPr>
              <w:pStyle w:val="BodyText"/>
              <w:keepNext w:val="0"/>
              <w:spacing w:after="80" w:line="252" w:lineRule="auto"/>
              <w:jc w:val="left"/>
            </w:pPr>
            <w:r>
              <w:rPr>
                <w:rFonts w:ascii="Calibri" w:hAnsi="Calibri"/>
                <w:sz w:val="17"/>
              </w:rPr>
              <w:t xml:space="preserve">Earlier optional extensions</w:t>
            </w:r>
          </w:p>
        </w:tc>
        <w:tc>
          <w:tcPr>
            <w:tcW w:type="dxa" w:w="2749"/>
          </w:tcPr>
          <w:p>
            <w:pPr>
              <w:pStyle w:val="BodyText"/>
              <w:keepNext w:val="0"/>
              <w:spacing w:after="80" w:line="252" w:lineRule="auto"/>
              <w:jc w:val="left"/>
            </w:pPr>
            <w:r>
              <w:rPr>
                <w:rFonts w:ascii="Calibri" w:hAnsi="Calibri"/>
                <w:sz w:val="17"/>
              </w:rPr>
              <w:t xml:space="preserve">They remain added commitments to be analyzed here.</w:t>
            </w:r>
          </w:p>
        </w:tc>
      </w:tr>
    </w:tbl>
    <w:bookmarkEnd w:id="116"/>
    <w:bookmarkStart w:id="117" w:name="X2e2625d6932b7f6700577eddfcdfd4192b7e536"/>
    <w:p>
      <w:pPr>
        <w:pStyle w:val="Heading3"/>
      </w:pPr>
      <w:r>
        <w:t xml:space="preserve">02 / Simplicity excludes conditioning. It preserves fullness.</w:t>
      </w:r>
    </w:p>
    <w:p>
      <w:pPr>
        <w:pStyle w:val="FirstParagraph"/>
      </w:pPr>
      <w:r>
        <w:rPr>
          <w:b/>
          <w:bCs/>
        </w:rPr>
        <w:t xml:space="preserve">Status:</w:t>
      </w:r>
      <w:r>
        <w:t xml:space="preserve"> </w:t>
      </w:r>
      <w:r>
        <w:t xml:space="preserve">Conditional theorem.</w:t>
      </w:r>
    </w:p>
    <w:p>
      <w:pPr>
        <w:pStyle w:val="BodyText"/>
      </w:pPr>
      <w:r>
        <w:t xml:space="preserve">The six accomplishments ask how the source could still receive what makes it actual, one, existent, determinate, or perfect. Their arguments must identify the dependence rather than assume it.</w:t>
      </w:r>
    </w:p>
    <w:p>
      <w:pPr>
        <w:pStyle w:val="BodyText"/>
      </w:pPr>
      <w:r>
        <w:t xml:space="preserve">Begin with the strongest simple objection: an efficiently uncaused reality might still be a brute composite. KD answers by claiming that proper intrinsic constituents ground the whole’s actuality. To defend it, identify what each proposed constituent contributes to what the whole actually is. A structure that makes no such contribution may be an analysis or a dependent feature of the whole, rather than a prior constituent. A whole-priority theorist can dispute the direction of grounding; that is the substantive disagreement.</w:t>
      </w:r>
    </w:p>
    <w:p>
      <w:pPr>
        <w:pStyle w:val="BodyText"/>
      </w:pPr>
      <w:r>
        <w:t xml:space="preserve">The six accomplishments extend this audit. Pure actuality examines receptive actualization; non-derivative unity examines unification by prior principles; anti-composition examines constitutive grounding; transcendence of genus examines determination by a wider constitutive kind; essence–existence identity examines received existential actuality; attribute simplicity examines perfections that would complete an underlying divine subject. These routes overlap and carry different premises. They are a historically deep cumulative case, not six premise-neutral proofs.</w:t>
      </w:r>
    </w:p>
    <w:p>
      <w:pPr>
        <w:pStyle w:val="BodyText"/>
      </w:pPr>
      <w:r>
        <w:t xml:space="preserve">Their common negative result is precise: nothing more basic supplies the source with the actuality, unity, existence, determination, or perfection by which it is ultimate. The positive argument begins only when a perfection is independently warranted. If possessing that perfection required a distinct intrinsic actualizer that perfected the source, its possession would be received. Underivation excludes that receiving structure. This gives perfection without reception; it does not discover a seventh independent simplicity accomplishment.</w:t>
      </w:r>
    </w:p>
    <w:p>
      <w:pPr>
        <w:pStyle w:val="BodyText"/>
      </w:pPr>
      <w:r>
        <w:t xml:space="preserve">Nor does it manufacture the perfection itself. An argument for intelligence must establish intelligence; an argument for goodness must establish goodness. Simplicity then disciplines their mode of possession. Wisdom and power need not be synonyms to have one concrete realization. Conversely, merely showing that one realization can answer several descriptions does not prove that every divine perfection is realized in this way.</w:t>
      </w:r>
    </w:p>
    <w:p>
      <w:pPr>
        <w:pStyle w:val="BodyText"/>
      </w:pPr>
      <w:r>
        <w:t xml:space="preserve">Plenitude is this positive possession without completion by something more basic. It means neither featureless unity nor an inventory of acquired attributes. For finite goods whose complete character includes learning, embodiment, danger, or growth, the argument must distinguish their positive achievement from their receptive conditions. A creature’s good can remain genuinely creaturely without every element of its description being transferred to God.</w:t>
      </w:r>
    </w:p>
    <w:p>
      <w:pPr>
        <w:pStyle w:val="BodyText"/>
      </w:pPr>
      <w:r>
        <w:t xml:space="preserve">The audit leaves real questions. Scotist formalities, Palamite energies, and subsistent relations cannot be classified as parts by definition. In Trinitarian theology, the Son’s origin from the Father is not the reception of a missing divine perfection: unreceived divine actuality must not be confused with the Father’s personal unbegottenness. That distinction is doctrinally supplied; natural simplicity does not deduce the persons.</w:t>
      </w:r>
    </w:p>
    <w:p>
      <w:pPr>
        <w:pStyle w:val="BodyText"/>
      </w:pPr>
      <w:r>
        <w:t xml:space="preserve">Noncomposition, temporal changelessness, and identical intrinsic actuality across possible worlds remain separate claims. A noncomposite agent could have different intrinsic intentions in alternative possible situations without acquiring a part in time. Excluding this rival requires X and its independent defense.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Structure</w:t>
            </w:r>
          </w:p>
        </w:tc>
        <w:tc>
          <w:tcPr>
            <w:tcW w:type="dxa" w:w="2749"/>
            <w:shd w:fill="EAE5DA"/>
          </w:tcPr>
          <w:p>
            <w:pPr>
              <w:pStyle w:val="BodyText"/>
              <w:keepNext w:val="0"/>
              <w:spacing w:after="80" w:line="252" w:lineRule="auto"/>
              <w:jc w:val="left"/>
            </w:pPr>
            <w:r>
              <w:rPr>
                <w:rFonts w:ascii="Calibri" w:hAnsi="Calibri"/>
                <w:b/>
                <w:sz w:val="17"/>
              </w:rPr>
              <w:t xml:space="preserve">Bridge</w:t>
            </w:r>
          </w:p>
        </w:tc>
        <w:tc>
          <w:tcPr>
            <w:tcW w:type="dxa" w:w="2749"/>
            <w:shd w:fill="EAE5DA"/>
          </w:tcPr>
          <w:p>
            <w:pPr>
              <w:pStyle w:val="BodyText"/>
              <w:keepNext w:val="0"/>
              <w:spacing w:after="80" w:line="252" w:lineRule="auto"/>
              <w:jc w:val="left"/>
            </w:pPr>
            <w:r>
              <w:rPr>
                <w:rFonts w:ascii="Calibri" w:hAnsi="Calibri"/>
                <w:b/>
                <w:sz w:val="17"/>
              </w:rPr>
              <w:t xml:space="preserve">Result</w:t>
            </w:r>
          </w:p>
        </w:tc>
        <w:tc>
          <w:tcPr>
            <w:tcW w:type="dxa" w:w="2749"/>
            <w:shd w:fill="EAE5DA"/>
          </w:tcPr>
          <w:p>
            <w:pPr>
              <w:pStyle w:val="BodyText"/>
              <w:keepNext w:val="0"/>
              <w:spacing w:after="80" w:line="252" w:lineRule="auto"/>
              <w:jc w:val="left"/>
            </w:pPr>
            <w:r>
              <w:rPr>
                <w:rFonts w:ascii="Calibri" w:hAnsi="Calibri"/>
                <w:b/>
                <w:sz w:val="17"/>
              </w:rPr>
              <w:t xml:space="preserve">Boundary</w:t>
            </w:r>
          </w:p>
        </w:tc>
      </w:tr>
      <w:tr>
        <w:tc>
          <w:tcPr>
            <w:tcW w:type="dxa" w:w="1689"/>
          </w:tcPr>
          <w:p>
            <w:pPr>
              <w:pStyle w:val="BodyText"/>
              <w:keepNext w:val="0"/>
              <w:spacing w:after="80" w:line="252" w:lineRule="auto"/>
              <w:jc w:val="left"/>
            </w:pPr>
            <w:r>
              <w:rPr>
                <w:rFonts w:ascii="Calibri" w:hAnsi="Calibri"/>
                <w:sz w:val="17"/>
              </w:rPr>
              <w:t xml:space="preserve">1. Pure actuality</w:t>
            </w:r>
          </w:p>
        </w:tc>
        <w:tc>
          <w:tcPr>
            <w:tcW w:type="dxa" w:w="2749"/>
          </w:tcPr>
          <w:p>
            <w:pPr>
              <w:pStyle w:val="BodyText"/>
              <w:keepNext w:val="0"/>
              <w:spacing w:after="80" w:line="252" w:lineRule="auto"/>
              <w:jc w:val="left"/>
            </w:pPr>
            <w:r>
              <w:rPr>
                <w:rFonts w:ascii="Calibri" w:hAnsi="Calibri"/>
                <w:sz w:val="17"/>
              </w:rPr>
              <w:t xml:space="preserve">Receptive potency requires actuality from an actualizer</w:t>
            </w:r>
          </w:p>
        </w:tc>
        <w:tc>
          <w:tcPr>
            <w:tcW w:type="dxa" w:w="2749"/>
          </w:tcPr>
          <w:p>
            <w:pPr>
              <w:pStyle w:val="BodyText"/>
              <w:keepNext w:val="0"/>
              <w:spacing w:after="80" w:line="252" w:lineRule="auto"/>
              <w:jc w:val="left"/>
            </w:pPr>
            <w:r>
              <w:rPr>
                <w:rFonts w:ascii="Calibri" w:hAnsi="Calibri"/>
                <w:sz w:val="17"/>
              </w:rPr>
              <w:t xml:space="preserve">Excluded where it makes the source actual through what it receives</w:t>
            </w:r>
          </w:p>
        </w:tc>
        <w:tc>
          <w:tcPr>
            <w:tcW w:type="dxa" w:w="2749"/>
          </w:tcPr>
          <w:p>
            <w:pPr>
              <w:pStyle w:val="BodyText"/>
              <w:keepNext w:val="0"/>
              <w:spacing w:after="80" w:line="252" w:lineRule="auto"/>
              <w:jc w:val="left"/>
            </w:pPr>
            <w:r>
              <w:rPr>
                <w:rFonts w:ascii="Calibri" w:hAnsi="Calibri"/>
                <w:sz w:val="17"/>
              </w:rPr>
              <w:t xml:space="preserve">Active power for optional effects is not passive incompleteness.</w:t>
            </w:r>
          </w:p>
        </w:tc>
      </w:tr>
      <w:tr>
        <w:tc>
          <w:tcPr>
            <w:tcW w:type="dxa" w:w="1689"/>
          </w:tcPr>
          <w:p>
            <w:pPr>
              <w:pStyle w:val="BodyText"/>
              <w:keepNext w:val="0"/>
              <w:spacing w:after="80" w:line="252" w:lineRule="auto"/>
              <w:jc w:val="left"/>
            </w:pPr>
            <w:r>
              <w:rPr>
                <w:rFonts w:ascii="Calibri" w:hAnsi="Calibri"/>
                <w:sz w:val="17"/>
              </w:rPr>
              <w:t xml:space="preserve">2. Non-derivative unity</w:t>
            </w:r>
          </w:p>
        </w:tc>
        <w:tc>
          <w:tcPr>
            <w:tcW w:type="dxa" w:w="2749"/>
          </w:tcPr>
          <w:p>
            <w:pPr>
              <w:pStyle w:val="BodyText"/>
              <w:keepNext w:val="0"/>
              <w:spacing w:after="80" w:line="252" w:lineRule="auto"/>
              <w:jc w:val="left"/>
            </w:pPr>
            <w:r>
              <w:rPr>
                <w:rFonts w:ascii="Calibri" w:hAnsi="Calibri"/>
                <w:sz w:val="17"/>
              </w:rPr>
              <w:t xml:space="preserve">Prior principles or their coordination supply the whole’s unity</w:t>
            </w:r>
          </w:p>
        </w:tc>
        <w:tc>
          <w:tcPr>
            <w:tcW w:type="dxa" w:w="2749"/>
          </w:tcPr>
          <w:p>
            <w:pPr>
              <w:pStyle w:val="BodyText"/>
              <w:keepNext w:val="0"/>
              <w:spacing w:after="80" w:line="252" w:lineRule="auto"/>
              <w:jc w:val="left"/>
            </w:pPr>
            <w:r>
              <w:rPr>
                <w:rFonts w:ascii="Calibri" w:hAnsi="Calibri"/>
                <w:sz w:val="17"/>
              </w:rPr>
              <w:t xml:space="preserve">Excluded where the source receives the unity by which it is one</w:t>
            </w:r>
          </w:p>
        </w:tc>
        <w:tc>
          <w:tcPr>
            <w:tcW w:type="dxa" w:w="2749"/>
          </w:tcPr>
          <w:p>
            <w:pPr>
              <w:pStyle w:val="BodyText"/>
              <w:keepNext w:val="0"/>
              <w:spacing w:after="80" w:line="252" w:lineRule="auto"/>
              <w:jc w:val="left"/>
            </w:pPr>
            <w:r>
              <w:rPr>
                <w:rFonts w:ascii="Calibri" w:hAnsi="Calibri"/>
                <w:sz w:val="17"/>
              </w:rPr>
              <w:t xml:space="preserve">Plural descriptions alone do not establish a unifying cause.</w:t>
            </w:r>
          </w:p>
        </w:tc>
      </w:tr>
      <w:tr>
        <w:tc>
          <w:tcPr>
            <w:tcW w:type="dxa" w:w="1689"/>
          </w:tcPr>
          <w:p>
            <w:pPr>
              <w:pStyle w:val="BodyText"/>
              <w:keepNext w:val="0"/>
              <w:spacing w:after="80" w:line="252" w:lineRule="auto"/>
              <w:jc w:val="left"/>
            </w:pPr>
            <w:r>
              <w:rPr>
                <w:rFonts w:ascii="Calibri" w:hAnsi="Calibri"/>
                <w:sz w:val="17"/>
              </w:rPr>
              <w:t xml:space="preserve">3. Anti-composition</w:t>
            </w:r>
          </w:p>
        </w:tc>
        <w:tc>
          <w:tcPr>
            <w:tcW w:type="dxa" w:w="2749"/>
          </w:tcPr>
          <w:p>
            <w:pPr>
              <w:pStyle w:val="BodyText"/>
              <w:keepNext w:val="0"/>
              <w:spacing w:after="80" w:line="252" w:lineRule="auto"/>
              <w:jc w:val="left"/>
            </w:pPr>
            <w:r>
              <w:rPr>
                <w:rFonts w:ascii="Calibri" w:hAnsi="Calibri"/>
                <w:sz w:val="17"/>
              </w:rPr>
              <w:t xml:space="preserve">KD: proper intrinsic constituents ground the whole’s actuality</w:t>
            </w:r>
          </w:p>
        </w:tc>
        <w:tc>
          <w:tcPr>
            <w:tcW w:type="dxa" w:w="2749"/>
          </w:tcPr>
          <w:p>
            <w:pPr>
              <w:pStyle w:val="BodyText"/>
              <w:keepNext w:val="0"/>
              <w:spacing w:after="80" w:line="252" w:lineRule="auto"/>
              <w:jc w:val="left"/>
            </w:pPr>
            <w:r>
              <w:rPr>
                <w:rFonts w:ascii="Calibri" w:hAnsi="Calibri"/>
                <w:sz w:val="17"/>
              </w:rPr>
              <w:t xml:space="preserve">U + KD exclude those constituents</w:t>
            </w:r>
          </w:p>
        </w:tc>
        <w:tc>
          <w:tcPr>
            <w:tcW w:type="dxa" w:w="2749"/>
          </w:tcPr>
          <w:p>
            <w:pPr>
              <w:pStyle w:val="BodyText"/>
              <w:keepNext w:val="0"/>
              <w:spacing w:after="80" w:line="252" w:lineRule="auto"/>
              <w:jc w:val="left"/>
            </w:pPr>
            <w:r>
              <w:rPr>
                <w:rFonts w:ascii="Calibri" w:hAnsi="Calibri"/>
                <w:sz w:val="17"/>
              </w:rPr>
              <w:t xml:space="preserve">Whole-priority and brute-unity rivals challenge this direction of grounding.</w:t>
            </w:r>
          </w:p>
        </w:tc>
      </w:tr>
      <w:tr>
        <w:tc>
          <w:tcPr>
            <w:tcW w:type="dxa" w:w="1689"/>
          </w:tcPr>
          <w:p>
            <w:pPr>
              <w:pStyle w:val="BodyText"/>
              <w:keepNext w:val="0"/>
              <w:spacing w:after="80" w:line="252" w:lineRule="auto"/>
              <w:jc w:val="left"/>
            </w:pPr>
            <w:r>
              <w:rPr>
                <w:rFonts w:ascii="Calibri" w:hAnsi="Calibri"/>
                <w:sz w:val="17"/>
              </w:rPr>
              <w:t xml:space="preserve">4. No constitutive genus</w:t>
            </w:r>
          </w:p>
        </w:tc>
        <w:tc>
          <w:tcPr>
            <w:tcW w:type="dxa" w:w="2749"/>
          </w:tcPr>
          <w:p>
            <w:pPr>
              <w:pStyle w:val="BodyText"/>
              <w:keepNext w:val="0"/>
              <w:spacing w:after="80" w:line="252" w:lineRule="auto"/>
              <w:jc w:val="left"/>
            </w:pPr>
            <w:r>
              <w:rPr>
                <w:rFonts w:ascii="Calibri" w:hAnsi="Calibri"/>
                <w:sz w:val="17"/>
              </w:rPr>
              <w:t xml:space="preserve">A wider natural kind supplies principles determining what its member is</w:t>
            </w:r>
          </w:p>
        </w:tc>
        <w:tc>
          <w:tcPr>
            <w:tcW w:type="dxa" w:w="2749"/>
          </w:tcPr>
          <w:p>
            <w:pPr>
              <w:pStyle w:val="BodyText"/>
              <w:keepNext w:val="0"/>
              <w:spacing w:after="80" w:line="252" w:lineRule="auto"/>
              <w:jc w:val="left"/>
            </w:pPr>
            <w:r>
              <w:rPr>
                <w:rFonts w:ascii="Calibri" w:hAnsi="Calibri"/>
                <w:sz w:val="17"/>
              </w:rPr>
              <w:t xml:space="preserve">Excluded under the defended genus–constitution bridge</w:t>
            </w:r>
          </w:p>
        </w:tc>
        <w:tc>
          <w:tcPr>
            <w:tcW w:type="dxa" w:w="2749"/>
          </w:tcPr>
          <w:p>
            <w:pPr>
              <w:pStyle w:val="BodyText"/>
              <w:keepNext w:val="0"/>
              <w:spacing w:after="80" w:line="252" w:lineRule="auto"/>
              <w:jc w:val="left"/>
            </w:pPr>
            <w:r>
              <w:rPr>
                <w:rFonts w:ascii="Calibri" w:hAnsi="Calibri"/>
                <w:sz w:val="17"/>
              </w:rPr>
              <w:t xml:space="preserve">A shared logical concept is not thereby a common constitutive measure.</w:t>
            </w:r>
          </w:p>
        </w:tc>
      </w:tr>
      <w:tr>
        <w:tc>
          <w:tcPr>
            <w:tcW w:type="dxa" w:w="1689"/>
          </w:tcPr>
          <w:p>
            <w:pPr>
              <w:pStyle w:val="BodyText"/>
              <w:keepNext w:val="0"/>
              <w:spacing w:after="80" w:line="252" w:lineRule="auto"/>
              <w:jc w:val="left"/>
            </w:pPr>
            <w:r>
              <w:rPr>
                <w:rFonts w:ascii="Calibri" w:hAnsi="Calibri"/>
                <w:sz w:val="17"/>
              </w:rPr>
              <w:t xml:space="preserve">5. Essence–existence identity</w:t>
            </w:r>
          </w:p>
        </w:tc>
        <w:tc>
          <w:tcPr>
            <w:tcW w:type="dxa" w:w="2749"/>
          </w:tcPr>
          <w:p>
            <w:pPr>
              <w:pStyle w:val="BodyText"/>
              <w:keepNext w:val="0"/>
              <w:spacing w:after="80" w:line="252" w:lineRule="auto"/>
              <w:jc w:val="left"/>
            </w:pPr>
            <w:r>
              <w:rPr>
                <w:rFonts w:ascii="Calibri" w:hAnsi="Calibri"/>
                <w:sz w:val="17"/>
              </w:rPr>
              <w:t xml:space="preserve">A constituted recipient receives existential actuality from an actualizer</w:t>
            </w:r>
          </w:p>
        </w:tc>
        <w:tc>
          <w:tcPr>
            <w:tcW w:type="dxa" w:w="2749"/>
          </w:tcPr>
          <w:p>
            <w:pPr>
              <w:pStyle w:val="BodyText"/>
              <w:keepNext w:val="0"/>
              <w:spacing w:after="80" w:line="252" w:lineRule="auto"/>
              <w:jc w:val="left"/>
            </w:pPr>
            <w:r>
              <w:rPr>
                <w:rFonts w:ascii="Calibri" w:hAnsi="Calibri"/>
                <w:sz w:val="17"/>
              </w:rPr>
              <w:t xml:space="preserve">No received source existence under that ontology</w:t>
            </w:r>
          </w:p>
        </w:tc>
        <w:tc>
          <w:tcPr>
            <w:tcW w:type="dxa" w:w="2749"/>
          </w:tcPr>
          <w:p>
            <w:pPr>
              <w:pStyle w:val="BodyText"/>
              <w:keepNext w:val="0"/>
              <w:spacing w:after="80" w:line="252" w:lineRule="auto"/>
              <w:jc w:val="left"/>
            </w:pPr>
            <w:r>
              <w:rPr>
                <w:rFonts w:ascii="Calibri" w:hAnsi="Calibri"/>
                <w:sz w:val="17"/>
              </w:rPr>
              <w:t xml:space="preserve">Different concepts alone do not establish a real recipient–actualizer structure.</w:t>
            </w:r>
          </w:p>
        </w:tc>
      </w:tr>
      <w:tr>
        <w:tc>
          <w:tcPr>
            <w:tcW w:type="dxa" w:w="1689"/>
          </w:tcPr>
          <w:p>
            <w:pPr>
              <w:pStyle w:val="BodyText"/>
              <w:keepNext w:val="0"/>
              <w:spacing w:after="80" w:line="252" w:lineRule="auto"/>
              <w:jc w:val="left"/>
            </w:pPr>
            <w:r>
              <w:rPr>
                <w:rFonts w:ascii="Calibri" w:hAnsi="Calibri"/>
                <w:sz w:val="17"/>
              </w:rPr>
              <w:t xml:space="preserve">6. Attribute simplicity</w:t>
            </w:r>
          </w:p>
        </w:tc>
        <w:tc>
          <w:tcPr>
            <w:tcW w:type="dxa" w:w="2749"/>
          </w:tcPr>
          <w:p>
            <w:pPr>
              <w:pStyle w:val="BodyText"/>
              <w:keepNext w:val="0"/>
              <w:spacing w:after="80" w:line="252" w:lineRule="auto"/>
              <w:jc w:val="left"/>
            </w:pPr>
            <w:r>
              <w:rPr>
                <w:rFonts w:ascii="Calibri" w:hAnsi="Calibri"/>
                <w:sz w:val="17"/>
              </w:rPr>
              <w:t xml:space="preserve">Distinct intrinsic perfection-principles actualize or complete a divine subject</w:t>
            </w:r>
          </w:p>
        </w:tc>
        <w:tc>
          <w:tcPr>
            <w:tcW w:type="dxa" w:w="2749"/>
          </w:tcPr>
          <w:p>
            <w:pPr>
              <w:pStyle w:val="BodyText"/>
              <w:keepNext w:val="0"/>
              <w:spacing w:after="80" w:line="252" w:lineRule="auto"/>
              <w:jc w:val="left"/>
            </w:pPr>
            <w:r>
              <w:rPr>
                <w:rFonts w:ascii="Calibri" w:hAnsi="Calibri"/>
                <w:sz w:val="17"/>
              </w:rPr>
              <w:t xml:space="preserve">Excluded where the subject is perfected through them</w:t>
            </w:r>
          </w:p>
        </w:tc>
        <w:tc>
          <w:tcPr>
            <w:tcW w:type="dxa" w:w="2749"/>
          </w:tcPr>
          <w:p>
            <w:pPr>
              <w:pStyle w:val="BodyText"/>
              <w:keepNext w:val="0"/>
              <w:spacing w:after="80" w:line="252" w:lineRule="auto"/>
              <w:jc w:val="left"/>
            </w:pPr>
            <w:r>
              <w:rPr>
                <w:rFonts w:ascii="Calibri" w:hAnsi="Calibri"/>
                <w:sz w:val="17"/>
              </w:rPr>
              <w:t xml:space="preserve">Different meanings can share one realization; nonconstitutive formal distinction needs separate analysis.</w:t>
            </w:r>
          </w:p>
        </w:tc>
      </w:tr>
      <w:tr>
        <w:tc>
          <w:tcPr>
            <w:tcW w:type="dxa" w:w="1689"/>
          </w:tcPr>
          <w:p>
            <w:pPr>
              <w:pStyle w:val="BodyText"/>
              <w:keepNext w:val="0"/>
              <w:spacing w:after="80" w:line="252" w:lineRule="auto"/>
              <w:jc w:val="left"/>
            </w:pPr>
            <w:r>
              <w:rPr>
                <w:rFonts w:ascii="Calibri" w:hAnsi="Calibri"/>
                <w:sz w:val="17"/>
              </w:rPr>
              <w:t xml:space="preserve">Subject / accident</w:t>
            </w:r>
          </w:p>
        </w:tc>
        <w:tc>
          <w:tcPr>
            <w:tcW w:type="dxa" w:w="2749"/>
          </w:tcPr>
          <w:p>
            <w:pPr>
              <w:pStyle w:val="BodyText"/>
              <w:keepNext w:val="0"/>
              <w:spacing w:after="80" w:line="252" w:lineRule="auto"/>
              <w:jc w:val="left"/>
            </w:pPr>
            <w:r>
              <w:rPr>
                <w:rFonts w:ascii="Calibri" w:hAnsi="Calibri"/>
                <w:sz w:val="17"/>
              </w:rPr>
              <w:t xml:space="preserve">Accidental actuality depends on a subject and an acquired actualization</w:t>
            </w:r>
          </w:p>
        </w:tc>
        <w:tc>
          <w:tcPr>
            <w:tcW w:type="dxa" w:w="2749"/>
          </w:tcPr>
          <w:p>
            <w:pPr>
              <w:pStyle w:val="BodyText"/>
              <w:keepNext w:val="0"/>
              <w:spacing w:after="80" w:line="252" w:lineRule="auto"/>
              <w:jc w:val="left"/>
            </w:pPr>
            <w:r>
              <w:rPr>
                <w:rFonts w:ascii="Calibri" w:hAnsi="Calibri"/>
                <w:sz w:val="17"/>
              </w:rPr>
              <w:t xml:space="preserve">Excluded where it introduces the relevant receptive dependence</w:t>
            </w:r>
          </w:p>
        </w:tc>
        <w:tc>
          <w:tcPr>
            <w:tcW w:type="dxa" w:w="2749"/>
          </w:tcPr>
          <w:p>
            <w:pPr>
              <w:pStyle w:val="BodyText"/>
              <w:keepNext w:val="0"/>
              <w:spacing w:after="80" w:line="252" w:lineRule="auto"/>
              <w:jc w:val="left"/>
            </w:pPr>
            <w:r>
              <w:rPr>
                <w:rFonts w:ascii="Calibri" w:hAnsi="Calibri"/>
                <w:sz w:val="17"/>
              </w:rPr>
              <w:t xml:space="preserve">An external predication is not thereby an intrinsic accident.</w:t>
            </w:r>
          </w:p>
        </w:tc>
      </w:tr>
      <w:tr>
        <w:tc>
          <w:tcPr>
            <w:tcW w:type="dxa" w:w="1689"/>
          </w:tcPr>
          <w:p>
            <w:pPr>
              <w:pStyle w:val="BodyText"/>
              <w:keepNext w:val="0"/>
              <w:spacing w:after="80" w:line="252" w:lineRule="auto"/>
              <w:jc w:val="left"/>
            </w:pPr>
            <w:r>
              <w:rPr>
                <w:rFonts w:ascii="Calibri" w:hAnsi="Calibri"/>
                <w:sz w:val="17"/>
              </w:rPr>
              <w:t xml:space="preserve">Personal origin</w:t>
            </w:r>
          </w:p>
        </w:tc>
        <w:tc>
          <w:tcPr>
            <w:tcW w:type="dxa" w:w="2749"/>
          </w:tcPr>
          <w:p>
            <w:pPr>
              <w:pStyle w:val="BodyText"/>
              <w:keepNext w:val="0"/>
              <w:spacing w:after="80" w:line="252" w:lineRule="auto"/>
              <w:jc w:val="left"/>
            </w:pPr>
            <w:r>
              <w:rPr>
                <w:rFonts w:ascii="Calibri" w:hAnsi="Calibri"/>
                <w:sz w:val="17"/>
              </w:rPr>
              <w:t xml:space="preserve">Real opposition of origin without division of divine essence</w:t>
            </w:r>
          </w:p>
        </w:tc>
        <w:tc>
          <w:tcPr>
            <w:tcW w:type="dxa" w:w="2749"/>
          </w:tcPr>
          <w:p>
            <w:pPr>
              <w:pStyle w:val="BodyText"/>
              <w:keepNext w:val="0"/>
              <w:spacing w:after="80" w:line="252" w:lineRule="auto"/>
              <w:jc w:val="left"/>
            </w:pPr>
            <w:r>
              <w:rPr>
                <w:rFonts w:ascii="Calibri" w:hAnsi="Calibri"/>
                <w:sz w:val="17"/>
              </w:rPr>
              <w:t xml:space="preserve">Theological distinction, not derived from natural simplicity</w:t>
            </w:r>
          </w:p>
        </w:tc>
        <w:tc>
          <w:tcPr>
            <w:tcW w:type="dxa" w:w="2749"/>
          </w:tcPr>
          <w:p>
            <w:pPr>
              <w:pStyle w:val="BodyText"/>
              <w:keepNext w:val="0"/>
              <w:spacing w:after="80" w:line="252" w:lineRule="auto"/>
              <w:jc w:val="left"/>
            </w:pPr>
            <w:r>
              <w:rPr>
                <w:rFonts w:ascii="Calibri" w:hAnsi="Calibri"/>
                <w:sz w:val="17"/>
              </w:rPr>
              <w:t xml:space="preserve">Unreceived deity does not make Son and Spirit personally unoriginated.</w:t>
            </w:r>
          </w:p>
        </w:tc>
      </w:tr>
      <w:tr>
        <w:tc>
          <w:tcPr>
            <w:tcW w:type="dxa" w:w="1689"/>
          </w:tcPr>
          <w:p>
            <w:pPr>
              <w:pStyle w:val="BodyText"/>
              <w:keepNext w:val="0"/>
              <w:spacing w:after="80" w:line="252" w:lineRule="auto"/>
              <w:jc w:val="left"/>
            </w:pPr>
            <w:r>
              <w:rPr>
                <w:rFonts w:ascii="Calibri" w:hAnsi="Calibri"/>
                <w:sz w:val="17"/>
              </w:rPr>
              <w:t xml:space="preserve">Formalities / energies</w:t>
            </w:r>
          </w:p>
        </w:tc>
        <w:tc>
          <w:tcPr>
            <w:tcW w:type="dxa" w:w="2749"/>
          </w:tcPr>
          <w:p>
            <w:pPr>
              <w:pStyle w:val="BodyText"/>
              <w:keepNext w:val="0"/>
              <w:spacing w:after="80" w:line="252" w:lineRule="auto"/>
              <w:jc w:val="left"/>
            </w:pPr>
            <w:r>
              <w:rPr>
                <w:rFonts w:ascii="Calibri" w:hAnsi="Calibri"/>
                <w:sz w:val="17"/>
              </w:rPr>
              <w:t xml:space="preserve">Do the proposed distinctions actually constitute or actualize the source?</w:t>
            </w:r>
          </w:p>
        </w:tc>
        <w:tc>
          <w:tcPr>
            <w:tcW w:type="dxa" w:w="2749"/>
          </w:tcPr>
          <w:p>
            <w:pPr>
              <w:pStyle w:val="BodyText"/>
              <w:keepNext w:val="0"/>
              <w:spacing w:after="80" w:line="252" w:lineRule="auto"/>
              <w:jc w:val="left"/>
            </w:pPr>
            <w:r>
              <w:rPr>
                <w:rFonts w:ascii="Calibri" w:hAnsi="Calibri"/>
                <w:sz w:val="17"/>
              </w:rPr>
              <w:t xml:space="preserve">Case-specific; not automatically excluded</w:t>
            </w:r>
          </w:p>
        </w:tc>
        <w:tc>
          <w:tcPr>
            <w:tcW w:type="dxa" w:w="2749"/>
          </w:tcPr>
          <w:p>
            <w:pPr>
              <w:pStyle w:val="BodyText"/>
              <w:keepNext w:val="0"/>
              <w:spacing w:after="80" w:line="252" w:lineRule="auto"/>
              <w:jc w:val="left"/>
            </w:pPr>
            <w:r>
              <w:rPr>
                <w:rFonts w:ascii="Calibri" w:hAnsi="Calibri"/>
                <w:sz w:val="17"/>
              </w:rPr>
              <w:t xml:space="preserve">Scotist formalities and Palamite energies are not interchangeable accounts.</w:t>
            </w:r>
          </w:p>
        </w:tc>
      </w:tr>
      <w:tr>
        <w:tc>
          <w:tcPr>
            <w:tcW w:type="dxa" w:w="1689"/>
          </w:tcPr>
          <w:p>
            <w:pPr>
              <w:pStyle w:val="BodyText"/>
              <w:keepNext w:val="0"/>
              <w:spacing w:after="80" w:line="252" w:lineRule="auto"/>
              <w:jc w:val="left"/>
            </w:pPr>
            <w:r>
              <w:rPr>
                <w:rFonts w:ascii="Calibri" w:hAnsi="Calibri"/>
                <w:sz w:val="17"/>
              </w:rPr>
              <w:t xml:space="preserve">Intrinsic intention across worlds</w:t>
            </w:r>
          </w:p>
        </w:tc>
        <w:tc>
          <w:tcPr>
            <w:tcW w:type="dxa" w:w="2749"/>
          </w:tcPr>
          <w:p>
            <w:pPr>
              <w:pStyle w:val="BodyText"/>
              <w:keepNext w:val="0"/>
              <w:spacing w:after="80" w:line="252" w:lineRule="auto"/>
              <w:jc w:val="left"/>
            </w:pPr>
            <w:r>
              <w:rPr>
                <w:rFonts w:ascii="Calibri" w:hAnsi="Calibri"/>
                <w:sz w:val="17"/>
              </w:rPr>
              <w:t xml:space="preserve">A different intrinsic intentional profile in another possible world</w:t>
            </w:r>
          </w:p>
        </w:tc>
        <w:tc>
          <w:tcPr>
            <w:tcW w:type="dxa" w:w="2749"/>
          </w:tcPr>
          <w:p>
            <w:pPr>
              <w:pStyle w:val="BodyText"/>
              <w:keepNext w:val="0"/>
              <w:spacing w:after="80" w:line="252" w:lineRule="auto"/>
              <w:jc w:val="left"/>
            </w:pPr>
            <w:r>
              <w:rPr>
                <w:rFonts w:ascii="Calibri" w:hAnsi="Calibri"/>
                <w:sz w:val="17"/>
              </w:rPr>
              <w:t xml:space="preserve">Not excluded by noncomposition alone</w:t>
            </w:r>
          </w:p>
        </w:tc>
        <w:tc>
          <w:tcPr>
            <w:tcW w:type="dxa" w:w="2749"/>
          </w:tcPr>
          <w:p>
            <w:pPr>
              <w:pStyle w:val="BodyText"/>
              <w:keepNext w:val="0"/>
              <w:spacing w:after="80" w:line="252" w:lineRule="auto"/>
              <w:jc w:val="left"/>
            </w:pPr>
            <w:r>
              <w:rPr>
                <w:rFonts w:ascii="Calibri" w:hAnsi="Calibri"/>
                <w:sz w:val="17"/>
              </w:rPr>
              <w:t xml:space="preserve">X supplies the stronger commitment; temporal acquisition is another question.</w:t>
            </w:r>
          </w:p>
        </w:tc>
      </w:tr>
    </w:tbl>
    <w:bookmarkEnd w:id="117"/>
    <w:bookmarkStart w:id="118" w:name="X2d1a8dfacf732792c19313726f8a4e01691d033"/>
    <w:p>
      <w:pPr>
        <w:pStyle w:val="Heading3"/>
      </w:pPr>
      <w:r>
        <w:t xml:space="preserve">03 / A gift can be complete without being compulsory.</w:t>
      </w:r>
    </w:p>
    <w:p>
      <w:pPr>
        <w:pStyle w:val="FirstParagraph"/>
      </w:pPr>
      <w:r>
        <w:rPr>
          <w:b/>
          <w:bCs/>
        </w:rPr>
        <w:t xml:space="preserve">Status:</w:t>
      </w:r>
      <w:r>
        <w:t xml:space="preserve"> </w:t>
      </w:r>
      <w:r>
        <w:t xml:space="preserve">Additional modal premise.</w:t>
      </w:r>
    </w:p>
    <w:p>
      <w:pPr>
        <w:pStyle w:val="BodyText"/>
      </w:pPr>
      <w:r>
        <w:t xml:space="preserve">Non-exhaustion removes a claim of adequacy: no finite world expresses the whole source. A further modal argument must establish that creation could genuinely have been otherwise.</w:t>
      </w:r>
    </w:p>
    <w:p>
      <w:pPr>
        <w:pStyle w:val="BodyText"/>
      </w:pPr>
      <w:r>
        <w:t xml:space="preserve">The necessary emanator is a decisive countermodel. It is unlimited, complete, and undivided; one finite cosmos follows from it in every admitted situation. The effect never exhausts its source, but still cannot fail to exist. Being unnecessary for the giver’s completion is different from being metaphysically contingent.</w:t>
      </w:r>
    </w:p>
    <w:p>
      <w:pPr>
        <w:pStyle w:val="BodyText"/>
      </w:pPr>
      <w:r>
        <w:t xml:space="preserve">Aquinas offers a stronger argument: a rational will necessarily directed toward its complete good need not necessarily select each finite means or expression by which that good could be communicated. Where the end is already possessed, the proposed recipient is not required to complete it. This supports communication as a gift. Its warrant includes a theory of rational willing and alternative specification; source fullness alone supplies neither.</w:t>
      </w:r>
    </w:p>
    <w:p>
      <w:pPr>
        <w:pStyle w:val="BodyText"/>
      </w:pPr>
      <w:r>
        <w:t xml:space="preserve">Scotus sharpens the modal question. A later change of mind does not establish that a will could have acted otherwise at this act of choice. Synchronic contingency concerns that live alternative. It need not be represented as a temporal hesitation in God. Our possible-worlds reconstruction is modern, and the Scotist resource does not independently establish X.</w:t>
      </w:r>
    </w:p>
    <w:p>
      <w:pPr>
        <w:pStyle w:val="BodyText"/>
      </w:pPr>
      <w:r>
        <w:t xml:space="preserve">Distinguish necessary execution from necessary choice. Necessarily, if an infallibly efficacious intention creates A, A exists. It does not follow that the intention toward A is necessary. Collapse follows if the necessary intrinsic divine actuality necessarily entails that complete world-specific intention. Denying that entailment blocks this route to collapse; intelligent authorship must still explain the actual choice.</w:t>
      </w:r>
    </w:p>
    <w:p>
      <w:pPr>
        <w:pStyle w:val="BodyText"/>
      </w:pPr>
      <w:r>
        <w:t xml:space="preserve">The explorer tests a strong modal extension: A, B, and no creation are admissible. Their stipulated consistency is weaker than proof of their metaphysical possibility. One effect’s possible absence, each effect’s contingency, different whole orders, and deliberate noncreation are four different claims. Noncreation is particularly important: a complete source would possess its intrinsic perfection without any actual recipient.</w:t>
      </w:r>
    </w:p>
    <w:bookmarkEnd w:id="118"/>
    <w:bookmarkStart w:id="119" w:name="alternatives-reasons-choice-execution."/>
    <w:p>
      <w:pPr>
        <w:pStyle w:val="Heading3"/>
      </w:pPr>
      <w:r>
        <w:t xml:space="preserve">04 / Alternatives, reasons, choice, execution.</w:t>
      </w:r>
    </w:p>
    <w:p>
      <w:pPr>
        <w:pStyle w:val="FirstParagraph"/>
      </w:pPr>
      <w:r>
        <w:rPr>
          <w:b/>
          <w:bCs/>
        </w:rPr>
        <w:t xml:space="preserve">Status:</w:t>
      </w:r>
      <w:r>
        <w:t xml:space="preserve"> </w:t>
      </w:r>
      <w:r>
        <w:t xml:space="preserve">Constructive extension.</w:t>
      </w:r>
    </w:p>
    <w:p>
      <w:pPr>
        <w:pStyle w:val="BodyText"/>
      </w:pPr>
      <w:r>
        <w:t xml:space="preserve">A complete account must explain what is possible, why an option is fitting, who chooses it, and why the intended result actually occurs.</w:t>
      </w:r>
    </w:p>
    <w:p>
      <w:pPr>
        <w:pStyle w:val="BodyText"/>
      </w:pPr>
      <w:r>
        <w:t xml:space="preserve">Possibility concerns admissible alternatives. Reasons concern the goods apprehended in them. Choice concerns the agent’s actual intentional exercise toward one. Efficacy concerns its successful production. A possibility does not choose itself; a good reason need not uniquely determine a gift; a finite agent can choose and fail to execute. In a perfect creative agent, infallible execution still does not make selection necessary.</w:t>
      </w:r>
    </w:p>
    <w:p>
      <w:pPr>
        <w:pStyle w:val="BodyText"/>
      </w:pPr>
      <w:r>
        <w:t xml:space="preserve">The strongest lottery rival places the spontaneity at the source itself. A or B occurs, every created actuality remains source-dependent, and no external machine governs the result. What is missing is the source’s rational authorship of the difference. Alternatives and complete causal dependence therefore do not yet amount to freedom.</w:t>
      </w:r>
    </w:p>
    <w:p>
      <w:pPr>
        <w:pStyle w:val="BodyText"/>
      </w:pPr>
      <w:r>
        <w:t xml:space="preserve">The positive proposal adds understood possibilities and control of the actual action. The agent acts for a reason toward a determinate good. Where several gifts are fitting, a reason can justify giving without necessitating this unique recipient or form. Demanding a prior uniquely determining reason for every choice would impose necessitation on the account before examining it. Accepting voluntary action as an explanatory terminus is itself a metaphysical commitment, not a synonym for randomness.</w:t>
      </w:r>
    </w:p>
    <w:p>
      <w:pPr>
        <w:pStyle w:val="BodyText"/>
      </w:pPr>
      <w:r>
        <w:t xml:space="preserve">Intellect needs an independent positive bridge. Producing intelligible or intelligent effects establishes, at minimum, causal adequacy for them. It does not by itself exclude a noncognitive source with primitive powers to produce cognition. The stronger argument treats achieved understanding, apart from the receptive passage of learning, as a pure perfection; it then requires intrinsic ultimate possession of such perfections at the universal source. Accepting both premises warrants an intellective source. Rejecting the second leaves the weaker causal conclusion.</w:t>
      </w:r>
    </w:p>
    <w:p>
      <w:pPr>
        <w:pStyle w:val="BodyText"/>
      </w:pPr>
      <w:r>
        <w:t xml:space="preserve">Anselm helps distinguish rational excellence from sheer access to contraries. Inability to choose evil can coexist with freedom understood as rectitude for its own sake. That insight concerns the perfection of agency; genuine alternatives among good creations still require the separate modal argument.</w:t>
      </w:r>
    </w:p>
    <w:bookmarkEnd w:id="119"/>
    <w:bookmarkStart w:id="120" w:name="Xd82565e653ea35812172f59acf7bbc88b824273"/>
    <w:p>
      <w:pPr>
        <w:pStyle w:val="Heading3"/>
      </w:pPr>
      <w:r>
        <w:t xml:space="preserve">05 / The difference belongs to an intended action.</w:t>
      </w:r>
    </w:p>
    <w:p>
      <w:pPr>
        <w:pStyle w:val="FirstParagraph"/>
      </w:pPr>
      <w:r>
        <w:rPr>
          <w:b/>
          <w:bCs/>
        </w:rPr>
        <w:t xml:space="preserve">Status:</w:t>
      </w:r>
      <w:r>
        <w:t xml:space="preserve"> </w:t>
      </w:r>
      <w:r>
        <w:t xml:space="preserve">Candidate compatibility model.</w:t>
      </w:r>
    </w:p>
    <w:p>
      <w:pPr>
        <w:pStyle w:val="BodyText"/>
      </w:pPr>
      <w:r>
        <w:t xml:space="preserve">The agent’s action must explain its direction toward this world. Reading an intention backward from the finished effect would leave authorship unexplained.</w:t>
      </w:r>
    </w:p>
    <w:p>
      <w:pPr>
        <w:pStyle w:val="BodyText"/>
      </w:pPr>
      <w:r>
        <w:t xml:space="preserve">An understood plan represents a possible created order; it is not a separately existing Form. The source’s intentional action is directed toward that plan, and its efficacy makes the intended created order actual. The plan’s intelligibility, the actual choice, and the effect’s existence are distinct. Neither a catalogue of possibilities nor the finished world supplies the choice.</w:t>
      </w:r>
    </w:p>
    <w:p>
      <w:pPr>
        <w:pStyle w:val="BodyText"/>
      </w:pPr>
      <w:r>
        <w:t xml:space="preserve">The proposal distinguishes the agent’s intrinsic actuality from the complete action-fact: this agent intentionally producing this effect. It claims that real intentional relations need not be determined by intrinsic agent states alone. If the agent can freely originate such a relation without receiving a new perfection, complete creative actions can differ while intrinsic actuality remains the same. This is a substantive constructive bridge. Relational description by itself does not establish it.</w:t>
      </w:r>
    </w:p>
    <w:p>
      <w:pPr>
        <w:pStyle w:val="BodyText"/>
      </w:pPr>
      <w:r>
        <w:t xml:space="preserve">What makes</w:t>
      </w:r>
      <w:r>
        <w:t xml:space="preserve"> </w:t>
      </w:r>
      <w:r>
        <w:t xml:space="preserve">“</w:t>
      </w:r>
      <w:r>
        <w:t xml:space="preserve">the source wills A</w:t>
      </w:r>
      <w:r>
        <w:t xml:space="preserve">”</w:t>
      </w:r>
      <w:r>
        <w:t xml:space="preserve"> </w:t>
      </w:r>
      <w:r>
        <w:t xml:space="preserve">true is its actual intelligent exercise toward A. The choice originates with the agent; A is the produced effect, not a prior actualizer of the choosing. Truthmaking for a statement about an effect and cognitive or constitutive actualization of the agent are different relations. Explanation provisionally terminates in voluntary action rather than a prior necessitating selector. That stopping point must account for positive control and an understood reason.</w:t>
      </w:r>
    </w:p>
    <w:p>
      <w:pPr>
        <w:pStyle w:val="BodyText"/>
      </w:pPr>
      <w:r>
        <w:t xml:space="preserve">Choosing, acquiring perfection, and constituting the chooser are different operations. A finite action often involves all three, together with bodily changes and successive thought. The divine question asks which of those conditions belong to agency as such. It cannot be answered simply by subtracting the conditions of creaturely action; the remaining intentional relation must still explain direction, control, and efficacy.</w:t>
      </w:r>
    </w:p>
    <w:p>
      <w:pPr>
        <w:pStyle w:val="BodyText"/>
      </w:pPr>
      <w:r>
        <w:t xml:space="preserve">The strongest rival grants free action but places different intrinsic intentions in different possible worlds. That rival need not introduce parts or temporal acquisition. The relational proposal preserves X only if the world-specific intentional difference genuinely belongs to the complete action without changing the source’s intrinsic actuality. Merely renaming the difference</w:t>
      </w:r>
      <w:r>
        <w:t xml:space="preserve"> </w:t>
      </w:r>
      <w:r>
        <w:t xml:space="preserve">“</w:t>
      </w:r>
      <w:r>
        <w:t xml:space="preserve">extrinsic</w:t>
      </w:r>
      <w:r>
        <w:t xml:space="preserve">”</w:t>
      </w:r>
      <w:r>
        <w:t xml:space="preserve"> </w:t>
      </w:r>
      <w:r>
        <w:t xml:space="preserve">would evade this burden.</w:t>
      </w:r>
    </w:p>
    <w:p>
      <w:pPr>
        <w:pStyle w:val="BodyText"/>
      </w:pPr>
      <w:r>
        <w:t xml:space="preserve">Deliberate noncreation tests the account sharply. There would be no actual created effect to supply an external label. The source would retain its understood possibilities and active power while freely refraining from outward exercise. A successful relational theory must explain that agency too, without inventing an independent action-object between God and creatures.</w:t>
      </w:r>
    </w:p>
    <w:bookmarkEnd w:id="120"/>
    <w:bookmarkStart w:id="121" w:name="X898b7e1a6e799c8f0b6e894fabc56b759df944d"/>
    <w:p>
      <w:pPr>
        <w:pStyle w:val="Heading3"/>
      </w:pPr>
      <w:r>
        <w:t xml:space="preserve">06 / Knowledge through actual intelligent action.</w:t>
      </w:r>
    </w:p>
    <w:p>
      <w:pPr>
        <w:pStyle w:val="FirstParagraph"/>
      </w:pPr>
      <w:r>
        <w:rPr>
          <w:b/>
          <w:bCs/>
        </w:rPr>
        <w:t xml:space="preserve">Status:</w:t>
      </w:r>
      <w:r>
        <w:t xml:space="preserve"> </w:t>
      </w:r>
      <w:r>
        <w:t xml:space="preserve">Independent epistemic proposal.</w:t>
      </w:r>
    </w:p>
    <w:p>
      <w:pPr>
        <w:pStyle w:val="BodyText"/>
      </w:pPr>
      <w:r>
        <w:t xml:space="preserve">The source can know an effect through its own efficacious intention if it knows that actual intention and its efficacy. Knowing a power or every possible plan is insufficient.</w:t>
      </w:r>
    </w:p>
    <w:p>
      <w:pPr>
        <w:pStyle w:val="BodyText"/>
      </w:pPr>
      <w:r>
        <w:t xml:space="preserve">Productive knowledge reverses the receptive pattern of learning from a finished object. An intelligent agent apprehends a determinate intended content, knows its actual exercise toward it, and understands what that exercise accomplishes. Where the intention is infallibly efficacious, this warrants knowledge of the effect without observing it. Blind power could produce the same result; efficacy must therefore be joined to intelligent self-awareness.</w:t>
      </w:r>
    </w:p>
    <w:p>
      <w:pPr>
        <w:pStyle w:val="BodyText"/>
      </w:pPr>
      <w:r>
        <w:t xml:space="preserve">Three conditions remain distinct: awareness of the actual action, adequate disclosure of its effect through that action, and warrant sufficient for knowledge. Accuracy alone is insufficient. Nor does intrinsic self-knowledge automatically reveal a world-specific intention if X leaves the intrinsic profile invariant. The required self-awareness must reach the complete actual intentional action, including its particular direction.</w:t>
      </w:r>
    </w:p>
    <w:p>
      <w:pPr>
        <w:pStyle w:val="BodyText"/>
      </w:pPr>
      <w:r>
        <w:t xml:space="preserve">Aquinas explicitly joins knowledge-as-cause to willing. Augustine’s non-acquired knowledge and the Maximian distinction between known logoi and actual creatures support this explanatory direction. They are historical resources for the proposal; no single author is credited with the whole modern account or its resolution of every modal difficulty.</w:t>
      </w:r>
    </w:p>
    <w:p>
      <w:pPr>
        <w:pStyle w:val="BodyText"/>
      </w:pPr>
      <w:r>
        <w:t xml:space="preserve">Knowledge is answerable to truth: knowing that A exists requires A’s existence. This factivity does not show that A teaches or actualizes the knower. On the productive account, the effect exists through the intelligent exercise; it does not contribute a missing cognitive perfection to the source. Truthmaking for a creaturely proposition is thus compatible with the creature’s not being a cognitive actualizer of God.</w:t>
      </w:r>
    </w:p>
    <w:p>
      <w:pPr>
        <w:pStyle w:val="BodyText"/>
      </w:pPr>
      <w:r>
        <w:t xml:space="preserve">The further frontier is secondary freedom. Sustaining a free creature is not identical with choosing its intention. Knowing a wrongful act is not choosing its moral defect. Productive knowledge covers what the actual divine exercise adequately specifies or discloses; it cannot simply absorb every creaturely intention into God’s intention.</w:t>
      </w:r>
    </w:p>
    <w:p>
      <w:pPr>
        <w:pStyle w:val="BodyText"/>
      </w:pPr>
      <w:r>
        <w:t xml:space="preserve">A possible further bridge is direct non-receptive awareness of finite acts: created actuality is cognitively present to the underived intellect without informing it through acquired representations. Causal intimacy makes that proposal intelligible but does not establish cognitive presence. It needs its own argument, including an account of omissions, future contingents, and moral defects. Catholic doctrine supplies comprehensive divine knowledge as a theological commitment; this scoped philosophical model has not independently demonstrated omniscience.</w:t>
      </w:r>
    </w:p>
    <w:bookmarkEnd w:id="121"/>
    <w:bookmarkStart w:id="122" w:name="break-the-proposed-paths."/>
    <w:p>
      <w:pPr>
        <w:pStyle w:val="Heading3"/>
      </w:pPr>
      <w:r>
        <w:t xml:space="preserve">07 / Break the proposed paths.</w:t>
      </w:r>
    </w:p>
    <w:p>
      <w:pPr>
        <w:pStyle w:val="FirstParagraph"/>
      </w:pPr>
      <w:r>
        <w:rPr>
          <w:b/>
          <w:bCs/>
        </w:rPr>
        <w:t xml:space="preserve">Status:</w:t>
      </w:r>
      <w:r>
        <w:t xml:space="preserve"> </w:t>
      </w:r>
      <w:r>
        <w:t xml:space="preserve">Dependency explorer.</w:t>
      </w:r>
    </w:p>
    <w:p>
      <w:pPr>
        <w:pStyle w:val="BodyText"/>
      </w:pPr>
      <w:r>
        <w:t xml:space="preserve">Toggle commitments to see which documented arguments remain available. A selected premise is not an independently warranted truth.</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Bridge</w:t>
            </w:r>
          </w:p>
        </w:tc>
        <w:tc>
          <w:tcPr>
            <w:tcW w:type="dxa" w:w="2749"/>
            <w:shd w:fill="EAE5DA"/>
          </w:tcPr>
          <w:p>
            <w:pPr>
              <w:pStyle w:val="BodyText"/>
              <w:keepNext w:val="0"/>
              <w:spacing w:after="80" w:line="252" w:lineRule="auto"/>
              <w:jc w:val="left"/>
            </w:pPr>
            <w:r>
              <w:rPr>
                <w:rFonts w:ascii="Calibri" w:hAnsi="Calibri"/>
                <w:b/>
                <w:sz w:val="17"/>
              </w:rPr>
              <w:t xml:space="preserve">Status</w:t>
            </w:r>
          </w:p>
        </w:tc>
        <w:tc>
          <w:tcPr>
            <w:tcW w:type="dxa" w:w="2749"/>
            <w:shd w:fill="EAE5DA"/>
          </w:tcPr>
          <w:p>
            <w:pPr>
              <w:pStyle w:val="BodyText"/>
              <w:keepNext w:val="0"/>
              <w:spacing w:after="80" w:line="252" w:lineRule="auto"/>
              <w:jc w:val="left"/>
            </w:pPr>
            <w:r>
              <w:rPr>
                <w:rFonts w:ascii="Calibri" w:hAnsi="Calibri"/>
                <w:b/>
                <w:sz w:val="17"/>
              </w:rPr>
              <w:t xml:space="preserve">Content</w:t>
            </w:r>
          </w:p>
        </w:tc>
        <w:tc>
          <w:tcPr>
            <w:tcW w:type="dxa" w:w="2749"/>
            <w:shd w:fill="EAE5DA"/>
          </w:tcPr>
          <w:p>
            <w:pPr>
              <w:pStyle w:val="BodyText"/>
              <w:keepNext w:val="0"/>
              <w:spacing w:after="80" w:line="252" w:lineRule="auto"/>
              <w:jc w:val="left"/>
            </w:pPr>
            <w:r>
              <w:rPr>
                <w:rFonts w:ascii="Calibri" w:hAnsi="Calibri"/>
                <w:b/>
                <w:sz w:val="17"/>
              </w:rPr>
              <w:t xml:space="preserve">Deletion diagnostic</w:t>
            </w:r>
          </w:p>
        </w:tc>
      </w:tr>
      <w:tr>
        <w:tc>
          <w:tcPr>
            <w:tcW w:type="dxa" w:w="1689"/>
          </w:tcPr>
          <w:p>
            <w:pPr>
              <w:pStyle w:val="BodyText"/>
              <w:keepNext w:val="0"/>
              <w:spacing w:after="80" w:line="252" w:lineRule="auto"/>
              <w:jc w:val="left"/>
            </w:pPr>
            <w:r>
              <w:rPr>
                <w:rFonts w:ascii="Calibri" w:hAnsi="Calibri"/>
                <w:sz w:val="17"/>
              </w:rPr>
              <w:t xml:space="preserve">U Source underivation</w:t>
            </w:r>
          </w:p>
        </w:tc>
        <w:tc>
          <w:tcPr>
            <w:tcW w:type="dxa" w:w="2749"/>
          </w:tcPr>
          <w:p>
            <w:pPr>
              <w:pStyle w:val="BodyText"/>
              <w:keepNext w:val="0"/>
              <w:spacing w:after="80" w:line="252" w:lineRule="auto"/>
              <w:jc w:val="left"/>
            </w:pPr>
            <w:r>
              <w:rPr>
                <w:rFonts w:ascii="Calibri" w:hAnsi="Calibri"/>
                <w:sz w:val="17"/>
              </w:rPr>
              <w:t xml:space="preserve">Inherited premise</w:t>
            </w:r>
          </w:p>
        </w:tc>
        <w:tc>
          <w:tcPr>
            <w:tcW w:type="dxa" w:w="2749"/>
          </w:tcPr>
          <w:p>
            <w:pPr>
              <w:pStyle w:val="BodyText"/>
              <w:keepNext w:val="0"/>
              <w:spacing w:after="80" w:line="252" w:lineRule="auto"/>
              <w:jc w:val="left"/>
            </w:pPr>
            <w:r>
              <w:rPr>
                <w:rFonts w:ascii="Calibri" w:hAnsi="Calibri"/>
                <w:sz w:val="17"/>
              </w:rPr>
              <w:t xml:space="preserve">No constitutive grounding of source actuality in something else.</w:t>
            </w:r>
          </w:p>
        </w:tc>
        <w:tc>
          <w:tcPr>
            <w:tcW w:type="dxa" w:w="2749"/>
          </w:tcPr>
          <w:p>
            <w:pPr>
              <w:pStyle w:val="BodyText"/>
              <w:keepNext w:val="0"/>
              <w:spacing w:after="80" w:line="252" w:lineRule="auto"/>
              <w:jc w:val="left"/>
            </w:pPr>
            <w:r>
              <w:rPr>
                <w:rFonts w:ascii="Calibri" w:hAnsi="Calibri"/>
                <w:sz w:val="17"/>
              </w:rPr>
              <w:t xml:space="preserve">A source may receive actuality or depend on constituents. Other retained simplicity theses could still block some cases; this toggle tracks this proof only.</w:t>
            </w:r>
          </w:p>
        </w:tc>
      </w:tr>
      <w:tr>
        <w:tc>
          <w:tcPr>
            <w:tcW w:type="dxa" w:w="1689"/>
          </w:tcPr>
          <w:p>
            <w:pPr>
              <w:pStyle w:val="BodyText"/>
              <w:keepNext w:val="0"/>
              <w:spacing w:after="80" w:line="252" w:lineRule="auto"/>
              <w:jc w:val="left"/>
            </w:pPr>
            <w:r>
              <w:rPr>
                <w:rFonts w:ascii="Calibri" w:hAnsi="Calibri"/>
                <w:sz w:val="17"/>
              </w:rPr>
              <w:t xml:space="preserve">KD Constitution grounds dependence</w:t>
            </w:r>
          </w:p>
        </w:tc>
        <w:tc>
          <w:tcPr>
            <w:tcW w:type="dxa" w:w="2749"/>
          </w:tcPr>
          <w:p>
            <w:pPr>
              <w:pStyle w:val="BodyText"/>
              <w:keepNext w:val="0"/>
              <w:spacing w:after="80" w:line="252" w:lineRule="auto"/>
              <w:jc w:val="left"/>
            </w:pPr>
            <w:r>
              <w:rPr>
                <w:rFonts w:ascii="Calibri" w:hAnsi="Calibri"/>
                <w:sz w:val="17"/>
              </w:rPr>
              <w:t xml:space="preserve">Inherited bridge</w:t>
            </w:r>
          </w:p>
        </w:tc>
        <w:tc>
          <w:tcPr>
            <w:tcW w:type="dxa" w:w="2749"/>
          </w:tcPr>
          <w:p>
            <w:pPr>
              <w:pStyle w:val="BodyText"/>
              <w:keepNext w:val="0"/>
              <w:spacing w:after="80" w:line="252" w:lineRule="auto"/>
              <w:jc w:val="left"/>
            </w:pPr>
            <w:r>
              <w:rPr>
                <w:rFonts w:ascii="Calibri" w:hAnsi="Calibri"/>
                <w:sz w:val="17"/>
              </w:rPr>
              <w:t xml:space="preserve">Proper intrinsic constituents contribute grounds of the whole’s actuality.</w:t>
            </w:r>
          </w:p>
        </w:tc>
        <w:tc>
          <w:tcPr>
            <w:tcW w:type="dxa" w:w="2749"/>
          </w:tcPr>
          <w:p>
            <w:pPr>
              <w:pStyle w:val="BodyText"/>
              <w:keepNext w:val="0"/>
              <w:spacing w:after="80" w:line="252" w:lineRule="auto"/>
              <w:jc w:val="left"/>
            </w:pPr>
            <w:r>
              <w:rPr>
                <w:rFonts w:ascii="Calibri" w:hAnsi="Calibri"/>
                <w:sz w:val="17"/>
              </w:rPr>
              <w:t xml:space="preserve">An efficiently uncaused or brute composite can evade the source noncomposition argument.</w:t>
            </w:r>
          </w:p>
        </w:tc>
      </w:tr>
      <w:tr>
        <w:tc>
          <w:tcPr>
            <w:tcW w:type="dxa" w:w="1689"/>
          </w:tcPr>
          <w:p>
            <w:pPr>
              <w:pStyle w:val="BodyText"/>
              <w:keepNext w:val="0"/>
              <w:spacing w:after="80" w:line="252" w:lineRule="auto"/>
              <w:jc w:val="left"/>
            </w:pPr>
            <w:r>
              <w:rPr>
                <w:rFonts w:ascii="Calibri" w:hAnsi="Calibri"/>
                <w:sz w:val="17"/>
              </w:rPr>
              <w:t xml:space="preserve">F Unbounded / bounded actuality profile</w:t>
            </w:r>
          </w:p>
        </w:tc>
        <w:tc>
          <w:tcPr>
            <w:tcW w:type="dxa" w:w="2749"/>
          </w:tcPr>
          <w:p>
            <w:pPr>
              <w:pStyle w:val="BodyText"/>
              <w:keepNext w:val="0"/>
              <w:spacing w:after="80" w:line="252" w:lineRule="auto"/>
              <w:jc w:val="left"/>
            </w:pPr>
            <w:r>
              <w:rPr>
                <w:rFonts w:ascii="Calibri" w:hAnsi="Calibri"/>
                <w:sz w:val="17"/>
              </w:rPr>
              <w:t xml:space="preserve">Inherited profile</w:t>
            </w:r>
          </w:p>
        </w:tc>
        <w:tc>
          <w:tcPr>
            <w:tcW w:type="dxa" w:w="2749"/>
          </w:tcPr>
          <w:p>
            <w:pPr>
              <w:pStyle w:val="BodyText"/>
              <w:keepNext w:val="0"/>
              <w:spacing w:after="80" w:line="252" w:lineRule="auto"/>
              <w:jc w:val="left"/>
            </w:pPr>
            <w:r>
              <w:rPr>
                <w:rFonts w:ascii="Calibri" w:hAnsi="Calibri"/>
                <w:sz w:val="17"/>
              </w:rPr>
              <w:t xml:space="preserve">FS and FC compare source and created actuality in respect e.</w:t>
            </w:r>
          </w:p>
        </w:tc>
        <w:tc>
          <w:tcPr>
            <w:tcW w:type="dxa" w:w="2749"/>
          </w:tcPr>
          <w:p>
            <w:pPr>
              <w:pStyle w:val="BodyText"/>
              <w:keepNext w:val="0"/>
              <w:spacing w:after="80" w:line="252" w:lineRule="auto"/>
              <w:jc w:val="left"/>
            </w:pPr>
            <w:r>
              <w:rPr>
                <w:rFonts w:ascii="Calibri" w:hAnsi="Calibri"/>
                <w:sz w:val="17"/>
              </w:rPr>
              <w:t xml:space="preserve">Finite effects need not fall below source measure. Infinity and finitude do not establish alternatives even when retained.</w:t>
            </w:r>
          </w:p>
        </w:tc>
      </w:tr>
      <w:tr>
        <w:tc>
          <w:tcPr>
            <w:tcW w:type="dxa" w:w="1689"/>
          </w:tcPr>
          <w:p>
            <w:pPr>
              <w:pStyle w:val="BodyText"/>
              <w:keepNext w:val="0"/>
              <w:spacing w:after="80" w:line="252" w:lineRule="auto"/>
              <w:jc w:val="left"/>
            </w:pPr>
            <w:r>
              <w:rPr>
                <w:rFonts w:ascii="Calibri" w:hAnsi="Calibri"/>
                <w:sz w:val="17"/>
              </w:rPr>
              <w:t xml:space="preserve">M Live creation alternatives</w:t>
            </w:r>
          </w:p>
        </w:tc>
        <w:tc>
          <w:tcPr>
            <w:tcW w:type="dxa" w:w="2749"/>
          </w:tcPr>
          <w:p>
            <w:pPr>
              <w:pStyle w:val="BodyText"/>
              <w:keepNext w:val="0"/>
              <w:spacing w:after="80" w:line="252" w:lineRule="auto"/>
              <w:jc w:val="left"/>
            </w:pPr>
            <w:r>
              <w:rPr>
                <w:rFonts w:ascii="Calibri" w:hAnsi="Calibri"/>
                <w:sz w:val="17"/>
              </w:rPr>
              <w:t xml:space="preserve">Additional premise</w:t>
            </w:r>
          </w:p>
        </w:tc>
        <w:tc>
          <w:tcPr>
            <w:tcW w:type="dxa" w:w="2749"/>
          </w:tcPr>
          <w:p>
            <w:pPr>
              <w:pStyle w:val="BodyText"/>
              <w:keepNext w:val="0"/>
              <w:spacing w:after="80" w:line="252" w:lineRule="auto"/>
              <w:jc w:val="left"/>
            </w:pPr>
            <w:r>
              <w:rPr>
                <w:rFonts w:ascii="Calibri" w:hAnsi="Calibri"/>
                <w:sz w:val="17"/>
              </w:rPr>
              <w:t xml:space="preserve">Admissible orders A, B, and no creation; their metaphysical possibility is asserted and needs warrant.</w:t>
            </w:r>
          </w:p>
        </w:tc>
        <w:tc>
          <w:tcPr>
            <w:tcW w:type="dxa" w:w="2749"/>
          </w:tcPr>
          <w:p>
            <w:pPr>
              <w:pStyle w:val="BodyText"/>
              <w:keepNext w:val="0"/>
              <w:spacing w:after="80" w:line="252" w:lineRule="auto"/>
              <w:jc w:val="left"/>
            </w:pPr>
            <w:r>
              <w:rPr>
                <w:rFonts w:ascii="Calibri" w:hAnsi="Calibri"/>
                <w:sz w:val="17"/>
              </w:rPr>
              <w:t xml:space="preserve">A necessary finite emanation remains compatible with the participation profile.</w:t>
            </w:r>
          </w:p>
        </w:tc>
      </w:tr>
      <w:tr>
        <w:tc>
          <w:tcPr>
            <w:tcW w:type="dxa" w:w="1689"/>
          </w:tcPr>
          <w:p>
            <w:pPr>
              <w:pStyle w:val="BodyText"/>
              <w:keepNext w:val="0"/>
              <w:spacing w:after="80" w:line="252" w:lineRule="auto"/>
              <w:jc w:val="left"/>
            </w:pPr>
            <w:r>
              <w:rPr>
                <w:rFonts w:ascii="Calibri" w:hAnsi="Calibri"/>
                <w:sz w:val="17"/>
              </w:rPr>
              <w:t xml:space="preserve">I Intelligible reasons and possibilities</w:t>
            </w:r>
          </w:p>
        </w:tc>
        <w:tc>
          <w:tcPr>
            <w:tcW w:type="dxa" w:w="2749"/>
          </w:tcPr>
          <w:p>
            <w:pPr>
              <w:pStyle w:val="BodyText"/>
              <w:keepNext w:val="0"/>
              <w:spacing w:after="80" w:line="252" w:lineRule="auto"/>
              <w:jc w:val="left"/>
            </w:pPr>
            <w:r>
              <w:rPr>
                <w:rFonts w:ascii="Calibri" w:hAnsi="Calibri"/>
                <w:sz w:val="17"/>
              </w:rPr>
              <w:t xml:space="preserve">Additional premise</w:t>
            </w:r>
          </w:p>
        </w:tc>
        <w:tc>
          <w:tcPr>
            <w:tcW w:type="dxa" w:w="2749"/>
          </w:tcPr>
          <w:p>
            <w:pPr>
              <w:pStyle w:val="BodyText"/>
              <w:keepNext w:val="0"/>
              <w:spacing w:after="80" w:line="252" w:lineRule="auto"/>
              <w:jc w:val="left"/>
            </w:pPr>
            <w:r>
              <w:rPr>
                <w:rFonts w:ascii="Calibri" w:hAnsi="Calibri"/>
                <w:sz w:val="17"/>
              </w:rPr>
              <w:t xml:space="preserve">The source understands possible expressions and their goods. Intelligence needs a positive-perfection bridge; producing cognition alone is weaker.</w:t>
            </w:r>
          </w:p>
        </w:tc>
        <w:tc>
          <w:tcPr>
            <w:tcW w:type="dxa" w:w="2749"/>
          </w:tcPr>
          <w:p>
            <w:pPr>
              <w:pStyle w:val="BodyText"/>
              <w:keepNext w:val="0"/>
              <w:spacing w:after="80" w:line="252" w:lineRule="auto"/>
              <w:jc w:val="left"/>
            </w:pPr>
            <w:r>
              <w:rPr>
                <w:rFonts w:ascii="Calibri" w:hAnsi="Calibri"/>
                <w:sz w:val="17"/>
              </w:rPr>
              <w:t xml:space="preserve">A choice made by the agent can remain uncomprehending; alternatives alone supply no rational understanding.</w:t>
            </w:r>
          </w:p>
        </w:tc>
      </w:tr>
      <w:tr>
        <w:tc>
          <w:tcPr>
            <w:tcW w:type="dxa" w:w="1689"/>
          </w:tcPr>
          <w:p>
            <w:pPr>
              <w:pStyle w:val="BodyText"/>
              <w:keepNext w:val="0"/>
              <w:spacing w:after="80" w:line="252" w:lineRule="auto"/>
              <w:jc w:val="left"/>
            </w:pPr>
            <w:r>
              <w:rPr>
                <w:rFonts w:ascii="Calibri" w:hAnsi="Calibri"/>
                <w:sz w:val="17"/>
              </w:rPr>
              <w:t xml:space="preserve">A Control of the action</w:t>
            </w:r>
          </w:p>
        </w:tc>
        <w:tc>
          <w:tcPr>
            <w:tcW w:type="dxa" w:w="2749"/>
          </w:tcPr>
          <w:p>
            <w:pPr>
              <w:pStyle w:val="BodyText"/>
              <w:keepNext w:val="0"/>
              <w:spacing w:after="80" w:line="252" w:lineRule="auto"/>
              <w:jc w:val="left"/>
            </w:pPr>
            <w:r>
              <w:rPr>
                <w:rFonts w:ascii="Calibri" w:hAnsi="Calibri"/>
                <w:sz w:val="17"/>
              </w:rPr>
              <w:t xml:space="preserve">Agency proposal</w:t>
            </w:r>
          </w:p>
        </w:tc>
        <w:tc>
          <w:tcPr>
            <w:tcW w:type="dxa" w:w="2749"/>
          </w:tcPr>
          <w:p>
            <w:pPr>
              <w:pStyle w:val="BodyText"/>
              <w:keepNext w:val="0"/>
              <w:spacing w:after="80" w:line="252" w:lineRule="auto"/>
              <w:jc w:val="left"/>
            </w:pPr>
            <w:r>
              <w:rPr>
                <w:rFonts w:ascii="Calibri" w:hAnsi="Calibri"/>
                <w:sz w:val="17"/>
              </w:rPr>
              <w:t xml:space="preserve">The actual choice originates in the source’s intentional control. A reason can render it intelligible without uniquely necessitating it.</w:t>
            </w:r>
          </w:p>
        </w:tc>
        <w:tc>
          <w:tcPr>
            <w:tcW w:type="dxa" w:w="2749"/>
          </w:tcPr>
          <w:p>
            <w:pPr>
              <w:pStyle w:val="BodyText"/>
              <w:keepNext w:val="0"/>
              <w:spacing w:after="80" w:line="252" w:lineRule="auto"/>
              <w:jc w:val="left"/>
            </w:pPr>
            <w:r>
              <w:rPr>
                <w:rFonts w:ascii="Calibri" w:hAnsi="Calibri"/>
                <w:sz w:val="17"/>
              </w:rPr>
              <w:t xml:space="preserve">An impersonal spontaneous process can select among alternatives while every effect remains source-dependent.</w:t>
            </w:r>
          </w:p>
        </w:tc>
      </w:tr>
      <w:tr>
        <w:tc>
          <w:tcPr>
            <w:tcW w:type="dxa" w:w="1689"/>
          </w:tcPr>
          <w:p>
            <w:pPr>
              <w:pStyle w:val="BodyText"/>
              <w:keepNext w:val="0"/>
              <w:spacing w:after="80" w:line="252" w:lineRule="auto"/>
              <w:jc w:val="left"/>
            </w:pPr>
            <w:r>
              <w:rPr>
                <w:rFonts w:ascii="Calibri" w:hAnsi="Calibri"/>
                <w:sz w:val="17"/>
              </w:rPr>
              <w:t xml:space="preserve">T Intention and effect correspond</w:t>
            </w:r>
          </w:p>
        </w:tc>
        <w:tc>
          <w:tcPr>
            <w:tcW w:type="dxa" w:w="2749"/>
          </w:tcPr>
          <w:p>
            <w:pPr>
              <w:pStyle w:val="BodyText"/>
              <w:keepNext w:val="0"/>
              <w:spacing w:after="80" w:line="252" w:lineRule="auto"/>
              <w:jc w:val="left"/>
            </w:pPr>
            <w:r>
              <w:rPr>
                <w:rFonts w:ascii="Calibri" w:hAnsi="Calibri"/>
                <w:sz w:val="17"/>
              </w:rPr>
              <w:t xml:space="preserve">Specification proposal</w:t>
            </w:r>
          </w:p>
        </w:tc>
        <w:tc>
          <w:tcPr>
            <w:tcW w:type="dxa" w:w="2749"/>
          </w:tcPr>
          <w:p>
            <w:pPr>
              <w:pStyle w:val="BodyText"/>
              <w:keepNext w:val="0"/>
              <w:spacing w:after="80" w:line="252" w:lineRule="auto"/>
              <w:jc w:val="left"/>
            </w:pPr>
            <w:r>
              <w:rPr>
                <w:rFonts w:ascii="Calibri" w:hAnsi="Calibri"/>
                <w:sz w:val="17"/>
              </w:rPr>
              <w:t xml:space="preserve">The agent’s action realizes its intended plan as an actual effect. A label on the effect is insufficient.</w:t>
            </w:r>
          </w:p>
        </w:tc>
        <w:tc>
          <w:tcPr>
            <w:tcW w:type="dxa" w:w="2749"/>
          </w:tcPr>
          <w:p>
            <w:pPr>
              <w:pStyle w:val="BodyText"/>
              <w:keepNext w:val="0"/>
              <w:spacing w:after="80" w:line="252" w:lineRule="auto"/>
              <w:jc w:val="left"/>
            </w:pPr>
            <w:r>
              <w:rPr>
                <w:rFonts w:ascii="Calibri" w:hAnsi="Calibri"/>
                <w:sz w:val="17"/>
              </w:rPr>
              <w:t xml:space="preserve">An intended plan need not coincide with the actual outcome. Other specification ontologies may supply a substitute.</w:t>
            </w:r>
          </w:p>
        </w:tc>
      </w:tr>
      <w:tr>
        <w:tc>
          <w:tcPr>
            <w:tcW w:type="dxa" w:w="1689"/>
          </w:tcPr>
          <w:p>
            <w:pPr>
              <w:pStyle w:val="BodyText"/>
              <w:keepNext w:val="0"/>
              <w:spacing w:after="80" w:line="252" w:lineRule="auto"/>
              <w:jc w:val="left"/>
            </w:pPr>
            <w:r>
              <w:rPr>
                <w:rFonts w:ascii="Calibri" w:hAnsi="Calibri"/>
                <w:sz w:val="17"/>
              </w:rPr>
              <w:t xml:space="preserve">R Awareness of the actual action</w:t>
            </w:r>
          </w:p>
        </w:tc>
        <w:tc>
          <w:tcPr>
            <w:tcW w:type="dxa" w:w="2749"/>
          </w:tcPr>
          <w:p>
            <w:pPr>
              <w:pStyle w:val="BodyText"/>
              <w:keepNext w:val="0"/>
              <w:spacing w:after="80" w:line="252" w:lineRule="auto"/>
              <w:jc w:val="left"/>
            </w:pPr>
            <w:r>
              <w:rPr>
                <w:rFonts w:ascii="Calibri" w:hAnsi="Calibri"/>
                <w:sz w:val="17"/>
              </w:rPr>
              <w:t xml:space="preserve">Epistemic proposal</w:t>
            </w:r>
          </w:p>
        </w:tc>
        <w:tc>
          <w:tcPr>
            <w:tcW w:type="dxa" w:w="2749"/>
          </w:tcPr>
          <w:p>
            <w:pPr>
              <w:pStyle w:val="BodyText"/>
              <w:keepNext w:val="0"/>
              <w:spacing w:after="80" w:line="252" w:lineRule="auto"/>
              <w:jc w:val="left"/>
            </w:pPr>
            <w:r>
              <w:rPr>
                <w:rFonts w:ascii="Calibri" w:hAnsi="Calibri"/>
                <w:sz w:val="17"/>
              </w:rPr>
              <w:t xml:space="preserve">Awareness discloses the source’s actual choice, rather than just its capacity or possible plans. Whether this counts as knowledge is examined separately.</w:t>
            </w:r>
          </w:p>
        </w:tc>
        <w:tc>
          <w:tcPr>
            <w:tcW w:type="dxa" w:w="2749"/>
          </w:tcPr>
          <w:p>
            <w:pPr>
              <w:pStyle w:val="BodyText"/>
              <w:keepNext w:val="0"/>
              <w:spacing w:after="80" w:line="252" w:lineRule="auto"/>
              <w:jc w:val="left"/>
            </w:pPr>
            <w:r>
              <w:rPr>
                <w:rFonts w:ascii="Calibri" w:hAnsi="Calibri"/>
                <w:sz w:val="17"/>
              </w:rPr>
              <w:t xml:space="preserve">Possibilities remain known while which exercise is actual is not disclosed. Other non-receptive epistemologies remain possible.</w:t>
            </w:r>
          </w:p>
        </w:tc>
      </w:tr>
      <w:tr>
        <w:tc>
          <w:tcPr>
            <w:tcW w:type="dxa" w:w="1689"/>
          </w:tcPr>
          <w:p>
            <w:pPr>
              <w:pStyle w:val="BodyText"/>
              <w:keepNext w:val="0"/>
              <w:spacing w:after="80" w:line="252" w:lineRule="auto"/>
              <w:jc w:val="left"/>
            </w:pPr>
            <w:r>
              <w:rPr>
                <w:rFonts w:ascii="Calibri" w:hAnsi="Calibri"/>
                <w:sz w:val="17"/>
              </w:rPr>
              <w:t xml:space="preserve">CT The action discloses its effect</w:t>
            </w:r>
          </w:p>
        </w:tc>
        <w:tc>
          <w:tcPr>
            <w:tcW w:type="dxa" w:w="2749"/>
          </w:tcPr>
          <w:p>
            <w:pPr>
              <w:pStyle w:val="BodyText"/>
              <w:keepNext w:val="0"/>
              <w:spacing w:after="80" w:line="252" w:lineRule="auto"/>
              <w:jc w:val="left"/>
            </w:pPr>
            <w:r>
              <w:rPr>
                <w:rFonts w:ascii="Calibri" w:hAnsi="Calibri"/>
                <w:sz w:val="17"/>
              </w:rPr>
              <w:t xml:space="preserve">Epistemic proposal</w:t>
            </w:r>
          </w:p>
        </w:tc>
        <w:tc>
          <w:tcPr>
            <w:tcW w:type="dxa" w:w="2749"/>
          </w:tcPr>
          <w:p>
            <w:pPr>
              <w:pStyle w:val="BodyText"/>
              <w:keepNext w:val="0"/>
              <w:spacing w:after="80" w:line="252" w:lineRule="auto"/>
              <w:jc w:val="left"/>
            </w:pPr>
            <w:r>
              <w:rPr>
                <w:rFonts w:ascii="Calibri" w:hAnsi="Calibri"/>
                <w:sz w:val="17"/>
              </w:rPr>
              <w:t xml:space="preserve">Awareness of the actual action adequately discloses its actual effect.</w:t>
            </w:r>
          </w:p>
        </w:tc>
        <w:tc>
          <w:tcPr>
            <w:tcW w:type="dxa" w:w="2749"/>
          </w:tcPr>
          <w:p>
            <w:pPr>
              <w:pStyle w:val="BodyText"/>
              <w:keepNext w:val="0"/>
              <w:spacing w:after="80" w:line="252" w:lineRule="auto"/>
              <w:jc w:val="left"/>
            </w:pPr>
            <w:r>
              <w:rPr>
                <w:rFonts w:ascii="Calibri" w:hAnsi="Calibri"/>
                <w:sz w:val="17"/>
              </w:rPr>
              <w:t xml:space="preserve">Awareness of one’s action need not disclose every external result. Scope and adequacy still need defending.</w:t>
            </w:r>
          </w:p>
        </w:tc>
      </w:tr>
      <w:tr>
        <w:tc>
          <w:tcPr>
            <w:tcW w:type="dxa" w:w="1689"/>
          </w:tcPr>
          <w:p>
            <w:pPr>
              <w:pStyle w:val="BodyText"/>
              <w:keepNext w:val="0"/>
              <w:spacing w:after="80" w:line="252" w:lineRule="auto"/>
              <w:jc w:val="left"/>
            </w:pPr>
            <w:r>
              <w:rPr>
                <w:rFonts w:ascii="Calibri" w:hAnsi="Calibri"/>
                <w:sz w:val="17"/>
              </w:rPr>
              <w:t xml:space="preserve">X Same intrinsic actuality across alternatives</w:t>
            </w:r>
          </w:p>
        </w:tc>
        <w:tc>
          <w:tcPr>
            <w:tcW w:type="dxa" w:w="2749"/>
          </w:tcPr>
          <w:p>
            <w:pPr>
              <w:pStyle w:val="BodyText"/>
              <w:keepNext w:val="0"/>
              <w:spacing w:after="80" w:line="252" w:lineRule="auto"/>
              <w:jc w:val="left"/>
            </w:pPr>
            <w:r>
              <w:rPr>
                <w:rFonts w:ascii="Calibri" w:hAnsi="Calibri"/>
                <w:sz w:val="17"/>
              </w:rPr>
              <w:t xml:space="preserve">Optional compatibility commitment</w:t>
            </w:r>
          </w:p>
        </w:tc>
        <w:tc>
          <w:tcPr>
            <w:tcW w:type="dxa" w:w="2749"/>
          </w:tcPr>
          <w:p>
            <w:pPr>
              <w:pStyle w:val="BodyText"/>
              <w:keepNext w:val="0"/>
              <w:spacing w:after="80" w:line="252" w:lineRule="auto"/>
              <w:jc w:val="left"/>
            </w:pPr>
            <w:r>
              <w:rPr>
                <w:rFonts w:ascii="Calibri" w:hAnsi="Calibri"/>
                <w:sz w:val="17"/>
              </w:rPr>
              <w:t xml:space="preserve">The source’s intrinsic profile is invariant across admitted created outcomes. Neither noncomposition nor temporal changelessness establishes this.</w:t>
            </w:r>
          </w:p>
        </w:tc>
        <w:tc>
          <w:tcPr>
            <w:tcW w:type="dxa" w:w="2749"/>
          </w:tcPr>
          <w:p>
            <w:pPr>
              <w:pStyle w:val="BodyText"/>
              <w:keepNext w:val="0"/>
              <w:spacing w:after="80" w:line="252" w:lineRule="auto"/>
              <w:jc w:val="left"/>
            </w:pPr>
            <w:r>
              <w:rPr>
                <w:rFonts w:ascii="Calibri" w:hAnsi="Calibri"/>
                <w:sz w:val="17"/>
              </w:rPr>
              <w:t xml:space="preserve">A rival can vary intrinsic intention across worlds while remaining noncomposite and underived.</w:t>
            </w:r>
          </w:p>
        </w:tc>
      </w:tr>
      <w:tr>
        <w:tc>
          <w:tcPr>
            <w:tcW w:type="dxa" w:w="1689"/>
          </w:tcPr>
          <w:p>
            <w:pPr>
              <w:pStyle w:val="BodyText"/>
              <w:keepNext w:val="0"/>
              <w:spacing w:after="80" w:line="252" w:lineRule="auto"/>
              <w:jc w:val="left"/>
            </w:pPr>
            <w:r>
              <w:rPr>
                <w:rFonts w:ascii="Calibri" w:hAnsi="Calibri"/>
                <w:sz w:val="17"/>
              </w:rPr>
              <w:t xml:space="preserve">EP Warrant for knowledge through one’s action</w:t>
            </w:r>
          </w:p>
        </w:tc>
        <w:tc>
          <w:tcPr>
            <w:tcW w:type="dxa" w:w="2749"/>
          </w:tcPr>
          <w:p>
            <w:pPr>
              <w:pStyle w:val="BodyText"/>
              <w:keepNext w:val="0"/>
              <w:spacing w:after="80" w:line="252" w:lineRule="auto"/>
              <w:jc w:val="left"/>
            </w:pPr>
            <w:r>
              <w:rPr>
                <w:rFonts w:ascii="Calibri" w:hAnsi="Calibri"/>
                <w:sz w:val="17"/>
              </w:rPr>
              <w:t xml:space="preserve">Epistemic bridge</w:t>
            </w:r>
          </w:p>
        </w:tc>
        <w:tc>
          <w:tcPr>
            <w:tcW w:type="dxa" w:w="2749"/>
          </w:tcPr>
          <w:p>
            <w:pPr>
              <w:pStyle w:val="BodyText"/>
              <w:keepNext w:val="0"/>
              <w:spacing w:after="80" w:line="252" w:lineRule="auto"/>
              <w:jc w:val="left"/>
            </w:pPr>
            <w:r>
              <w:rPr>
                <w:rFonts w:ascii="Calibri" w:hAnsi="Calibri"/>
                <w:sz w:val="17"/>
              </w:rPr>
              <w:t xml:space="preserve">Accurate awareness of the action and its effect counts as knowledge only with adequate warrant. Accuracy alone is insufficient.</w:t>
            </w:r>
          </w:p>
        </w:tc>
        <w:tc>
          <w:tcPr>
            <w:tcW w:type="dxa" w:w="2749"/>
          </w:tcPr>
          <w:p>
            <w:pPr>
              <w:pStyle w:val="BodyText"/>
              <w:keepNext w:val="0"/>
              <w:spacing w:after="80" w:line="252" w:lineRule="auto"/>
              <w:jc w:val="left"/>
            </w:pPr>
            <w:r>
              <w:rPr>
                <w:rFonts w:ascii="Calibri" w:hAnsi="Calibri"/>
                <w:sz w:val="17"/>
              </w:rPr>
              <w:t xml:space="preserve">Correct access records may coexist with an unsupported knowledge claim. If R is instead defined as fully warranted knowledge, this bridge is absorbed into that stronger premise.</w:t>
            </w:r>
          </w:p>
        </w:tc>
      </w:tr>
    </w:tbl>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Proposed path</w:t>
            </w:r>
          </w:p>
        </w:tc>
        <w:tc>
          <w:tcPr>
            <w:tcW w:type="dxa" w:w="3312"/>
            <w:shd w:fill="EAE5DA"/>
          </w:tcPr>
          <w:p>
            <w:pPr>
              <w:pStyle w:val="BodyText"/>
              <w:keepNext w:val="0"/>
              <w:spacing w:after="80" w:line="252" w:lineRule="auto"/>
              <w:jc w:val="left"/>
            </w:pPr>
            <w:r>
              <w:rPr>
                <w:rFonts w:ascii="Calibri" w:hAnsi="Calibri"/>
                <w:b/>
                <w:sz w:val="17"/>
              </w:rPr>
              <w:t xml:space="preserve">Premises</w:t>
            </w:r>
          </w:p>
        </w:tc>
        <w:tc>
          <w:tcPr>
            <w:tcW w:type="dxa" w:w="3312"/>
            <w:shd w:fill="EAE5DA"/>
          </w:tcPr>
          <w:p>
            <w:pPr>
              <w:pStyle w:val="BodyText"/>
              <w:keepNext w:val="0"/>
              <w:spacing w:after="80" w:line="252" w:lineRule="auto"/>
              <w:jc w:val="left"/>
            </w:pPr>
            <w:r>
              <w:rPr>
                <w:rFonts w:ascii="Calibri" w:hAnsi="Calibri"/>
                <w:b/>
                <w:sz w:val="17"/>
              </w:rPr>
              <w:t xml:space="preserve">Exact status</w:t>
            </w:r>
          </w:p>
        </w:tc>
      </w:tr>
      <w:tr>
        <w:tc>
          <w:tcPr>
            <w:tcW w:type="dxa" w:w="3312"/>
          </w:tcPr>
          <w:p>
            <w:pPr>
              <w:pStyle w:val="BodyText"/>
              <w:keepNext w:val="0"/>
              <w:spacing w:after="80" w:line="252" w:lineRule="auto"/>
              <w:jc w:val="left"/>
            </w:pPr>
            <w:r>
              <w:rPr>
                <w:rFonts w:ascii="Calibri" w:hAnsi="Calibri"/>
                <w:sz w:val="17"/>
              </w:rPr>
              <w:t xml:space="preserve">Minimal noncomposition</w:t>
            </w:r>
          </w:p>
        </w:tc>
        <w:tc>
          <w:tcPr>
            <w:tcW w:type="dxa" w:w="3312"/>
          </w:tcPr>
          <w:p>
            <w:pPr>
              <w:pStyle w:val="BodyText"/>
              <w:keepNext w:val="0"/>
              <w:spacing w:after="80" w:line="252" w:lineRule="auto"/>
              <w:jc w:val="left"/>
            </w:pPr>
            <w:r>
              <w:rPr>
                <w:rFonts w:ascii="Calibri" w:hAnsi="Calibri"/>
                <w:sz w:val="17"/>
              </w:rPr>
              <w:t xml:space="preserve">U, KD</w:t>
            </w:r>
          </w:p>
        </w:tc>
        <w:tc>
          <w:tcPr>
            <w:tcW w:type="dxa" w:w="3312"/>
          </w:tcPr>
          <w:p>
            <w:pPr>
              <w:pStyle w:val="BodyText"/>
              <w:keepNext w:val="0"/>
              <w:spacing w:after="80" w:line="252" w:lineRule="auto"/>
              <w:jc w:val="left"/>
            </w:pPr>
            <w:r>
              <w:rPr>
                <w:rFonts w:ascii="Calibri" w:hAnsi="Calibri"/>
                <w:sz w:val="17"/>
              </w:rPr>
              <w:t xml:space="preserve">Conditional theorem: No proper intrinsic constituents, given the defended grounding bridge.</w:t>
            </w:r>
          </w:p>
        </w:tc>
      </w:tr>
      <w:tr>
        <w:tc>
          <w:tcPr>
            <w:tcW w:type="dxa" w:w="3312"/>
          </w:tcPr>
          <w:p>
            <w:pPr>
              <w:pStyle w:val="BodyText"/>
              <w:keepNext w:val="0"/>
              <w:spacing w:after="80" w:line="252" w:lineRule="auto"/>
              <w:jc w:val="left"/>
            </w:pPr>
            <w:r>
              <w:rPr>
                <w:rFonts w:ascii="Calibri" w:hAnsi="Calibri"/>
                <w:sz w:val="17"/>
              </w:rPr>
              <w:t xml:space="preserve">Finite non-exhaustion</w:t>
            </w:r>
          </w:p>
        </w:tc>
        <w:tc>
          <w:tcPr>
            <w:tcW w:type="dxa" w:w="3312"/>
          </w:tcPr>
          <w:p>
            <w:pPr>
              <w:pStyle w:val="BodyText"/>
              <w:keepNext w:val="0"/>
              <w:spacing w:after="80" w:line="252" w:lineRule="auto"/>
              <w:jc w:val="left"/>
            </w:pPr>
            <w:r>
              <w:rPr>
                <w:rFonts w:ascii="Calibri" w:hAnsi="Calibri"/>
                <w:sz w:val="17"/>
              </w:rPr>
              <w:t xml:space="preserve">F</w:t>
            </w:r>
          </w:p>
        </w:tc>
        <w:tc>
          <w:tcPr>
            <w:tcW w:type="dxa" w:w="3312"/>
          </w:tcPr>
          <w:p>
            <w:pPr>
              <w:pStyle w:val="BodyText"/>
              <w:keepNext w:val="0"/>
              <w:spacing w:after="80" w:line="252" w:lineRule="auto"/>
              <w:jc w:val="left"/>
            </w:pPr>
            <w:r>
              <w:rPr>
                <w:rFonts w:ascii="Calibri" w:hAnsi="Calibri"/>
                <w:sz w:val="17"/>
              </w:rPr>
              <w:t xml:space="preserve">Inherited conditional result: The selected source/receiver actuality measures are unequal; no contingency follows.</w:t>
            </w:r>
          </w:p>
        </w:tc>
      </w:tr>
      <w:tr>
        <w:tc>
          <w:tcPr>
            <w:tcW w:type="dxa" w:w="3312"/>
          </w:tcPr>
          <w:p>
            <w:pPr>
              <w:pStyle w:val="BodyText"/>
              <w:keepNext w:val="0"/>
              <w:spacing w:after="80" w:line="252" w:lineRule="auto"/>
              <w:jc w:val="left"/>
            </w:pPr>
            <w:r>
              <w:rPr>
                <w:rFonts w:ascii="Calibri" w:hAnsi="Calibri"/>
                <w:sz w:val="17"/>
              </w:rPr>
              <w:t xml:space="preserve">Whole-order alternatives</w:t>
            </w:r>
          </w:p>
        </w:tc>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Additional modal premise: This is a disclosed extension, not a conclusion from infinity.</w:t>
            </w:r>
          </w:p>
        </w:tc>
      </w:tr>
      <w:tr>
        <w:tc>
          <w:tcPr>
            <w:tcW w:type="dxa" w:w="3312"/>
          </w:tcPr>
          <w:p>
            <w:pPr>
              <w:pStyle w:val="BodyText"/>
              <w:keepNext w:val="0"/>
              <w:spacing w:after="80" w:line="252" w:lineRule="auto"/>
              <w:jc w:val="left"/>
            </w:pPr>
            <w:r>
              <w:rPr>
                <w:rFonts w:ascii="Calibri" w:hAnsi="Calibri"/>
                <w:sz w:val="17"/>
              </w:rPr>
              <w:t xml:space="preserve">Intelligent intentional action</w:t>
            </w:r>
          </w:p>
        </w:tc>
        <w:tc>
          <w:tcPr>
            <w:tcW w:type="dxa" w:w="3312"/>
          </w:tcPr>
          <w:p>
            <w:pPr>
              <w:pStyle w:val="BodyText"/>
              <w:keepNext w:val="0"/>
              <w:spacing w:after="80" w:line="252" w:lineRule="auto"/>
              <w:jc w:val="left"/>
            </w:pPr>
            <w:r>
              <w:rPr>
                <w:rFonts w:ascii="Calibri" w:hAnsi="Calibri"/>
                <w:sz w:val="17"/>
              </w:rPr>
              <w:t xml:space="preserve">M, I, A</w:t>
            </w:r>
          </w:p>
        </w:tc>
        <w:tc>
          <w:tcPr>
            <w:tcW w:type="dxa" w:w="3312"/>
          </w:tcPr>
          <w:p>
            <w:pPr>
              <w:pStyle w:val="BodyText"/>
              <w:keepNext w:val="0"/>
              <w:spacing w:after="80" w:line="252" w:lineRule="auto"/>
              <w:jc w:val="left"/>
            </w:pPr>
            <w:r>
              <w:rPr>
                <w:rFonts w:ascii="Calibri" w:hAnsi="Calibri"/>
                <w:sz w:val="17"/>
              </w:rPr>
              <w:t xml:space="preserve">Conditional agency account: A control and intelligibility model is added; these are not established by the source profile.</w:t>
            </w:r>
          </w:p>
        </w:tc>
      </w:tr>
      <w:tr>
        <w:tc>
          <w:tcPr>
            <w:tcW w:type="dxa" w:w="3312"/>
          </w:tcPr>
          <w:p>
            <w:pPr>
              <w:pStyle w:val="BodyText"/>
              <w:keepNext w:val="0"/>
              <w:spacing w:after="80" w:line="252" w:lineRule="auto"/>
              <w:jc w:val="left"/>
            </w:pPr>
            <w:r>
              <w:rPr>
                <w:rFonts w:ascii="Calibri" w:hAnsi="Calibri"/>
                <w:sz w:val="17"/>
              </w:rPr>
              <w:t xml:space="preserve">The agent intentionally produces this effect</w:t>
            </w:r>
          </w:p>
        </w:tc>
        <w:tc>
          <w:tcPr>
            <w:tcW w:type="dxa" w:w="3312"/>
          </w:tcPr>
          <w:p>
            <w:pPr>
              <w:pStyle w:val="BodyText"/>
              <w:keepNext w:val="0"/>
              <w:spacing w:after="80" w:line="252" w:lineRule="auto"/>
              <w:jc w:val="left"/>
            </w:pPr>
            <w:r>
              <w:rPr>
                <w:rFonts w:ascii="Calibri" w:hAnsi="Calibri"/>
                <w:sz w:val="17"/>
              </w:rPr>
              <w:t xml:space="preserve">M, I, A, T</w:t>
            </w:r>
          </w:p>
        </w:tc>
        <w:tc>
          <w:tcPr>
            <w:tcW w:type="dxa" w:w="3312"/>
          </w:tcPr>
          <w:p>
            <w:pPr>
              <w:pStyle w:val="BodyText"/>
              <w:keepNext w:val="0"/>
              <w:spacing w:after="80" w:line="252" w:lineRule="auto"/>
              <w:jc w:val="left"/>
            </w:pPr>
            <w:r>
              <w:rPr>
                <w:rFonts w:ascii="Calibri" w:hAnsi="Calibri"/>
                <w:sz w:val="17"/>
              </w:rPr>
              <w:t xml:space="preserve">Candidate specification account: The added premise connects the chosen plan to the actual effect.</w:t>
            </w:r>
          </w:p>
        </w:tc>
      </w:tr>
      <w:tr>
        <w:tc>
          <w:tcPr>
            <w:tcW w:type="dxa" w:w="3312"/>
          </w:tcPr>
          <w:p>
            <w:pPr>
              <w:pStyle w:val="BodyText"/>
              <w:keepNext w:val="0"/>
              <w:spacing w:after="80" w:line="252" w:lineRule="auto"/>
              <w:jc w:val="left"/>
            </w:pPr>
            <w:r>
              <w:rPr>
                <w:rFonts w:ascii="Calibri" w:hAnsi="Calibri"/>
                <w:sz w:val="17"/>
              </w:rPr>
              <w:t xml:space="preserve">Action with the same intrinsic source actuality</w:t>
            </w:r>
          </w:p>
        </w:tc>
        <w:tc>
          <w:tcPr>
            <w:tcW w:type="dxa" w:w="3312"/>
          </w:tcPr>
          <w:p>
            <w:pPr>
              <w:pStyle w:val="BodyText"/>
              <w:keepNext w:val="0"/>
              <w:spacing w:after="80" w:line="252" w:lineRule="auto"/>
              <w:jc w:val="left"/>
            </w:pPr>
            <w:r>
              <w:rPr>
                <w:rFonts w:ascii="Calibri" w:hAnsi="Calibri"/>
                <w:sz w:val="17"/>
              </w:rPr>
              <w:t xml:space="preserve">U, KD, M, I, A, T, X</w:t>
            </w:r>
          </w:p>
        </w:tc>
        <w:tc>
          <w:tcPr>
            <w:tcW w:type="dxa" w:w="3312"/>
          </w:tcPr>
          <w:p>
            <w:pPr>
              <w:pStyle w:val="BodyText"/>
              <w:keepNext w:val="0"/>
              <w:spacing w:after="80" w:line="252" w:lineRule="auto"/>
              <w:jc w:val="left"/>
            </w:pPr>
            <w:r>
              <w:rPr>
                <w:rFonts w:ascii="Calibri" w:hAnsi="Calibri"/>
                <w:sz w:val="17"/>
              </w:rPr>
              <w:t xml:space="preserve">Candidate compatibility model: The relational account of intentional action still needs philosophical defense.</w:t>
            </w:r>
          </w:p>
        </w:tc>
      </w:tr>
      <w:tr>
        <w:tc>
          <w:tcPr>
            <w:tcW w:type="dxa" w:w="3312"/>
          </w:tcPr>
          <w:p>
            <w:pPr>
              <w:pStyle w:val="BodyText"/>
              <w:keepNext w:val="0"/>
              <w:spacing w:after="80" w:line="252" w:lineRule="auto"/>
              <w:jc w:val="left"/>
            </w:pPr>
            <w:r>
              <w:rPr>
                <w:rFonts w:ascii="Calibri" w:hAnsi="Calibri"/>
                <w:sz w:val="17"/>
              </w:rPr>
              <w:t xml:space="preserve">Knowledge of the effect without learning from it</w:t>
            </w:r>
          </w:p>
        </w:tc>
        <w:tc>
          <w:tcPr>
            <w:tcW w:type="dxa" w:w="3312"/>
          </w:tcPr>
          <w:p>
            <w:pPr>
              <w:pStyle w:val="BodyText"/>
              <w:keepNext w:val="0"/>
              <w:spacing w:after="80" w:line="252" w:lineRule="auto"/>
              <w:jc w:val="left"/>
            </w:pPr>
            <w:r>
              <w:rPr>
                <w:rFonts w:ascii="Calibri" w:hAnsi="Calibri"/>
                <w:sz w:val="17"/>
              </w:rPr>
              <w:t xml:space="preserve">I, A, T, R, CT, EP</w:t>
            </w:r>
          </w:p>
        </w:tc>
        <w:tc>
          <w:tcPr>
            <w:tcW w:type="dxa" w:w="3312"/>
          </w:tcPr>
          <w:p>
            <w:pPr>
              <w:pStyle w:val="BodyText"/>
              <w:keepNext w:val="0"/>
              <w:spacing w:after="80" w:line="252" w:lineRule="auto"/>
              <w:jc w:val="left"/>
            </w:pPr>
            <w:r>
              <w:rPr>
                <w:rFonts w:ascii="Calibri" w:hAnsi="Calibri"/>
                <w:sz w:val="17"/>
              </w:rPr>
              <w:t xml:space="preserve">Conditional epistemic account: Awareness of the action, disclosure of its effect, and explicit warrant; this does not establish omniscience.</w:t>
            </w:r>
          </w:p>
        </w:tc>
      </w:tr>
    </w:tbl>
    <w:bookmarkEnd w:id="122"/>
    <w:bookmarkStart w:id="123" w:name="distinct-arguments-one-architecture."/>
    <w:p>
      <w:pPr>
        <w:pStyle w:val="Heading3"/>
      </w:pPr>
      <w:r>
        <w:t xml:space="preserve">08 / Distinct arguments, one architecture.</w:t>
      </w:r>
    </w:p>
    <w:p>
      <w:pPr>
        <w:pStyle w:val="FirstParagraph"/>
      </w:pPr>
      <w:r>
        <w:rPr>
          <w:b/>
          <w:bCs/>
        </w:rPr>
        <w:t xml:space="preserve">Status:</w:t>
      </w:r>
      <w:r>
        <w:t xml:space="preserve"> </w:t>
      </w:r>
      <w:r>
        <w:t xml:space="preserve">Argument map.</w:t>
      </w:r>
    </w:p>
    <w:p>
      <w:pPr>
        <w:pStyle w:val="BodyText"/>
      </w:pPr>
      <w:r>
        <w:t xml:space="preserve">The arrows identify different explanatory jobs. A result about constitution cannot silently supply alternatives, intentional control, or cognitive warrant.</w:t>
      </w:r>
    </w:p>
    <w:p>
      <w:pPr>
        <w:pStyle w:val="BodyText"/>
      </w:pPr>
      <w:r>
        <w:t xml:space="preserve">The five working engines organize these tasks without pretending to be five metaphysical primitives. Determination–Realization asks what the relevant difference requires in reality. Dependence–Origin asks what supplies actuality, unity, or perfection. Possibility–Agency separates alternatives from actual choice. Manifestation–Measure asks what an action genuinely discloses. Goodness–Fulfillment asks why communication can be a good for its recipient without completing its source.</w:t>
      </w:r>
    </w:p>
    <w:p>
      <w:pPr>
        <w:pStyle w:val="BodyText"/>
      </w:pPr>
      <w:r>
        <w:t xml:space="preserve">Participation connects the inquiry to Part I: what is received is genuinely possessed by the creature. Intelligent exercise, expression of the source, and orientation toward fulfillment need further bridges. None is contained simply in the word</w:t>
      </w:r>
      <w:r>
        <w:t xml:space="preserve"> </w:t>
      </w:r>
      <w:r>
        <w:t xml:space="preserve">“</w:t>
      </w:r>
      <w:r>
        <w:t xml:space="preserve">received.</w:t>
      </w:r>
      <w:r>
        <w:t xml:space="preserve">”</w:t>
      </w:r>
    </w:p>
    <w:p>
      <w:pPr>
        <w:pStyle w:val="SourceCode"/>
      </w:pPr>
      <w:r>
        <w:rPr>
          <w:rStyle w:val="VerbatimChar"/>
        </w:rPr>
        <w:t xml:space="preserve">Adopted source profile</w:t>
      </w:r>
      <w:r>
        <w:br/>
      </w:r>
      <w:r>
        <w:rPr>
          <w:rStyle w:val="VerbatimChar"/>
        </w:rPr>
        <w:t xml:space="preserve">├─ U + KD → minimal noncomposition → separately examine stronger simplicity</w:t>
      </w:r>
      <w:r>
        <w:br/>
      </w:r>
      <w:r>
        <w:rPr>
          <w:rStyle w:val="VerbatimChar"/>
        </w:rPr>
        <w:t xml:space="preserve">└─ M → alternatives + I + A → a proposed intentional choice</w:t>
      </w:r>
      <w:r>
        <w:br/>
      </w:r>
      <w:r>
        <w:rPr>
          <w:rStyle w:val="VerbatimChar"/>
        </w:rPr>
        <w:t xml:space="preserve">   └─ T → the intended effect actually occurs</w:t>
      </w:r>
      <w:r>
        <w:br/>
      </w:r>
      <w:r>
        <w:rPr>
          <w:rStyle w:val="VerbatimChar"/>
        </w:rPr>
        <w:t xml:space="preserve">      ├─ X → the proposed account without intrinsic variation</w:t>
      </w:r>
      <w:r>
        <w:br/>
      </w:r>
      <w:r>
        <w:rPr>
          <w:rStyle w:val="VerbatimChar"/>
        </w:rPr>
        <w:t xml:space="preserve">      └─ R + CT + EP → warranted knowledge of the effect, given the premises</w:t>
      </w:r>
    </w:p>
    <w:p>
      <w:pPr>
        <w:pStyle w:val="FirstParagraph"/>
      </w:pPr>
      <w:r>
        <w:t xml:space="preserve">No arrow derives the source profile from participation alone.</w:t>
      </w:r>
    </w:p>
    <w:bookmarkEnd w:id="123"/>
    <w:bookmarkStart w:id="124" w:name="exemplars-at-different-joints."/>
    <w:p>
      <w:pPr>
        <w:pStyle w:val="Heading3"/>
      </w:pPr>
      <w:r>
        <w:t xml:space="preserve">09 / Exemplars at different joints.</w:t>
      </w:r>
    </w:p>
    <w:p>
      <w:pPr>
        <w:pStyle w:val="FirstParagraph"/>
      </w:pPr>
      <w:r>
        <w:rPr>
          <w:b/>
          <w:bCs/>
        </w:rPr>
        <w:t xml:space="preserve">Status:</w:t>
      </w:r>
      <w:r>
        <w:t xml:space="preserve"> </w:t>
      </w:r>
      <w:r>
        <w:t xml:space="preserve">Historical resources.</w:t>
      </w:r>
    </w:p>
    <w:p>
      <w:pPr>
        <w:pStyle w:val="BodyText"/>
      </w:pPr>
      <w:r>
        <w:t xml:space="preserve">No final system is attributed to these authors. The constructive architecture can develop beyond them, provided it preserves the achievements it retrieves and makes disagreement visible.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Thinker</w:t>
            </w:r>
          </w:p>
        </w:tc>
        <w:tc>
          <w:tcPr>
            <w:tcW w:type="dxa" w:w="2749"/>
            <w:shd w:fill="EAE5DA"/>
          </w:tcPr>
          <w:p>
            <w:pPr>
              <w:pStyle w:val="BodyText"/>
              <w:keepNext w:val="0"/>
              <w:spacing w:after="80" w:line="252" w:lineRule="auto"/>
              <w:jc w:val="left"/>
            </w:pPr>
            <w:r>
              <w:rPr>
                <w:rFonts w:ascii="Calibri" w:hAnsi="Calibri"/>
                <w:b/>
                <w:sz w:val="17"/>
              </w:rPr>
              <w:t xml:space="preserve">Role / locus</w:t>
            </w:r>
          </w:p>
        </w:tc>
        <w:tc>
          <w:tcPr>
            <w:tcW w:type="dxa" w:w="2749"/>
            <w:shd w:fill="EAE5DA"/>
          </w:tcPr>
          <w:p>
            <w:pPr>
              <w:pStyle w:val="BodyText"/>
              <w:keepNext w:val="0"/>
              <w:spacing w:after="80" w:line="252" w:lineRule="auto"/>
              <w:jc w:val="left"/>
            </w:pPr>
            <w:r>
              <w:rPr>
                <w:rFonts w:ascii="Calibri" w:hAnsi="Calibri"/>
                <w:b/>
                <w:sz w:val="17"/>
              </w:rPr>
              <w:t xml:space="preserve">Use</w:t>
            </w:r>
          </w:p>
        </w:tc>
        <w:tc>
          <w:tcPr>
            <w:tcW w:type="dxa" w:w="2749"/>
            <w:shd w:fill="EAE5DA"/>
          </w:tcPr>
          <w:p>
            <w:pPr>
              <w:pStyle w:val="BodyText"/>
              <w:keepNext w:val="0"/>
              <w:spacing w:after="80" w:line="252" w:lineRule="auto"/>
              <w:jc w:val="left"/>
            </w:pPr>
            <w:r>
              <w:rPr>
                <w:rFonts w:ascii="Calibri" w:hAnsi="Calibri"/>
                <w:b/>
                <w:sz w:val="17"/>
              </w:rPr>
              <w:t xml:space="preserve">Limit</w:t>
            </w:r>
          </w:p>
        </w:tc>
      </w:tr>
      <w:tr>
        <w:tc>
          <w:tcPr>
            <w:tcW w:type="dxa" w:w="1689"/>
          </w:tcPr>
          <w:p>
            <w:pPr>
              <w:pStyle w:val="BodyText"/>
              <w:keepNext w:val="0"/>
              <w:spacing w:after="80" w:line="252" w:lineRule="auto"/>
              <w:jc w:val="left"/>
            </w:pPr>
            <w:r>
              <w:rPr>
                <w:rFonts w:ascii="Calibri" w:hAnsi="Calibri"/>
                <w:sz w:val="17"/>
              </w:rPr>
              <w:t xml:space="preserve">Anselm</w:t>
            </w:r>
          </w:p>
        </w:tc>
        <w:tc>
          <w:tcPr>
            <w:tcW w:type="dxa" w:w="2749"/>
          </w:tcPr>
          <w:p>
            <w:pPr>
              <w:pStyle w:val="BodyText"/>
              <w:keepNext w:val="0"/>
              <w:spacing w:after="80" w:line="252" w:lineRule="auto"/>
              <w:jc w:val="left"/>
            </w:pPr>
            <w:r>
              <w:rPr>
                <w:rFonts w:ascii="Calibri" w:hAnsi="Calibri"/>
                <w:sz w:val="17"/>
              </w:rPr>
              <w:t xml:space="preserve">Constitution &amp; rational excellence — Monologion 17, 25; De libertate arbitrii 3; De veritate 12</w:t>
            </w:r>
          </w:p>
        </w:tc>
        <w:tc>
          <w:tcPr>
            <w:tcW w:type="dxa" w:w="2749"/>
          </w:tcPr>
          <w:p>
            <w:pPr>
              <w:pStyle w:val="BodyText"/>
              <w:keepNext w:val="0"/>
              <w:spacing w:after="80" w:line="252" w:lineRule="auto"/>
              <w:jc w:val="left"/>
            </w:pPr>
            <w:r>
              <w:rPr>
                <w:rFonts w:ascii="Calibri" w:hAnsi="Calibri"/>
                <w:sz w:val="17"/>
              </w:rPr>
              <w:t xml:space="preserve">Composite dependence, unchanged intrinsic nature with changing relative predication, and freedom as rectitude for its own sake.</w:t>
            </w:r>
          </w:p>
        </w:tc>
        <w:tc>
          <w:tcPr>
            <w:tcW w:type="dxa" w:w="2749"/>
          </w:tcPr>
          <w:p>
            <w:pPr>
              <w:pStyle w:val="BodyText"/>
              <w:keepNext w:val="0"/>
              <w:spacing w:after="80" w:line="252" w:lineRule="auto"/>
              <w:jc w:val="left"/>
            </w:pPr>
            <w:r>
              <w:rPr>
                <w:rFonts w:ascii="Calibri" w:hAnsi="Calibri"/>
                <w:sz w:val="17"/>
              </w:rPr>
              <w:t xml:space="preserve">The freedom passages are consulted through Williams’s specialist entry; they are not a deduction of creation alternatives.</w:t>
            </w:r>
          </w:p>
        </w:tc>
      </w:tr>
      <w:tr>
        <w:tc>
          <w:tcPr>
            <w:tcW w:type="dxa" w:w="1689"/>
          </w:tcPr>
          <w:p>
            <w:pPr>
              <w:pStyle w:val="BodyText"/>
              <w:keepNext w:val="0"/>
              <w:spacing w:after="80" w:line="252" w:lineRule="auto"/>
              <w:jc w:val="left"/>
            </w:pPr>
            <w:r>
              <w:rPr>
                <w:rFonts w:ascii="Calibri" w:hAnsi="Calibri"/>
                <w:sz w:val="17"/>
              </w:rPr>
              <w:t xml:space="preserve">Aquinas</w:t>
            </w:r>
          </w:p>
        </w:tc>
        <w:tc>
          <w:tcPr>
            <w:tcW w:type="dxa" w:w="2749"/>
          </w:tcPr>
          <w:p>
            <w:pPr>
              <w:pStyle w:val="BodyText"/>
              <w:keepNext w:val="0"/>
              <w:spacing w:after="80" w:line="252" w:lineRule="auto"/>
              <w:jc w:val="left"/>
            </w:pPr>
            <w:r>
              <w:rPr>
                <w:rFonts w:ascii="Calibri" w:hAnsi="Calibri"/>
                <w:sz w:val="17"/>
              </w:rPr>
              <w:t xml:space="preserve">Constitution, voluntary expression &amp; knowledge as cause — ST I q.3 a.7; q.14 aa.5, 8; q.19 aa.2–3</w:t>
            </w:r>
          </w:p>
        </w:tc>
        <w:tc>
          <w:tcPr>
            <w:tcW w:type="dxa" w:w="2749"/>
          </w:tcPr>
          <w:p>
            <w:pPr>
              <w:pStyle w:val="BodyText"/>
              <w:keepNext w:val="0"/>
              <w:spacing w:after="80" w:line="252" w:lineRule="auto"/>
              <w:jc w:val="left"/>
            </w:pPr>
            <w:r>
              <w:rPr>
                <w:rFonts w:ascii="Calibri" w:hAnsi="Calibri"/>
                <w:sz w:val="17"/>
              </w:rPr>
              <w:t xml:space="preserve">Composition depends on components; simple willing can communicate goodness; knowledge causes insofar as joined to willing.</w:t>
            </w:r>
          </w:p>
        </w:tc>
        <w:tc>
          <w:tcPr>
            <w:tcW w:type="dxa" w:w="2749"/>
          </w:tcPr>
          <w:p>
            <w:pPr>
              <w:pStyle w:val="BodyText"/>
              <w:keepNext w:val="0"/>
              <w:spacing w:after="80" w:line="252" w:lineRule="auto"/>
              <w:jc w:val="left"/>
            </w:pPr>
            <w:r>
              <w:rPr>
                <w:rFonts w:ascii="Calibri" w:hAnsi="Calibri"/>
                <w:sz w:val="17"/>
              </w:rPr>
              <w:t xml:space="preserve">His account supplies resources, not proof of the new relational account of action or a completed response to modal collapse.</w:t>
            </w:r>
          </w:p>
        </w:tc>
      </w:tr>
      <w:tr>
        <w:tc>
          <w:tcPr>
            <w:tcW w:type="dxa" w:w="1689"/>
          </w:tcPr>
          <w:p>
            <w:pPr>
              <w:pStyle w:val="BodyText"/>
              <w:keepNext w:val="0"/>
              <w:spacing w:after="80" w:line="252" w:lineRule="auto"/>
              <w:jc w:val="left"/>
            </w:pPr>
            <w:r>
              <w:rPr>
                <w:rFonts w:ascii="Calibri" w:hAnsi="Calibri"/>
                <w:sz w:val="17"/>
              </w:rPr>
              <w:t xml:space="preserve">Scotus</w:t>
            </w:r>
          </w:p>
        </w:tc>
        <w:tc>
          <w:tcPr>
            <w:tcW w:type="dxa" w:w="2749"/>
          </w:tcPr>
          <w:p>
            <w:pPr>
              <w:pStyle w:val="BodyText"/>
              <w:keepNext w:val="0"/>
              <w:spacing w:after="80" w:line="252" w:lineRule="auto"/>
              <w:jc w:val="left"/>
            </w:pPr>
            <w:r>
              <w:rPr>
                <w:rFonts w:ascii="Calibri" w:hAnsi="Calibri"/>
                <w:sz w:val="17"/>
              </w:rPr>
              <w:t xml:space="preserve">Live contingency — Williams,</w:t>
            </w:r>
            <w:r>
              <w:rPr>
                <w:rFonts w:ascii="Calibri" w:hAnsi="Calibri"/>
                <w:sz w:val="17"/>
              </w:rPr>
              <w:t xml:space="preserve"> </w:t>
            </w:r>
            <w:r>
              <w:rPr>
                <w:rFonts w:ascii="Calibri" w:hAnsi="Calibri"/>
                <w:sz w:val="17"/>
              </w:rPr>
              <w:t xml:space="preserve">“</w:t>
            </w:r>
            <w:r>
              <w:rPr>
                <w:rFonts w:ascii="Calibri" w:hAnsi="Calibri"/>
                <w:sz w:val="17"/>
              </w:rPr>
              <w:t xml:space="preserve">John Duns Scotus,</w:t>
            </w:r>
            <w:r>
              <w:rPr>
                <w:rFonts w:ascii="Calibri" w:hAnsi="Calibri"/>
                <w:sz w:val="17"/>
              </w:rPr>
              <w:t xml:space="preserve">”</w:t>
            </w:r>
            <w:r>
              <w:rPr>
                <w:rFonts w:ascii="Calibri" w:hAnsi="Calibri"/>
                <w:sz w:val="17"/>
              </w:rPr>
              <w:t xml:space="preserve"> </w:t>
            </w:r>
            <w:r>
              <w:rPr>
                <w:rFonts w:ascii="Calibri" w:hAnsi="Calibri"/>
                <w:sz w:val="17"/>
              </w:rPr>
              <w:t xml:space="preserve">§5.2; Lectura I d.39 as primary follow-up</w:t>
            </w:r>
          </w:p>
        </w:tc>
        <w:tc>
          <w:tcPr>
            <w:tcW w:type="dxa" w:w="2749"/>
          </w:tcPr>
          <w:p>
            <w:pPr>
              <w:pStyle w:val="BodyText"/>
              <w:keepNext w:val="0"/>
              <w:spacing w:after="80" w:line="252" w:lineRule="auto"/>
              <w:jc w:val="left"/>
            </w:pPr>
            <w:r>
              <w:rPr>
                <w:rFonts w:ascii="Calibri" w:hAnsi="Calibri"/>
                <w:sz w:val="17"/>
              </w:rPr>
              <w:t xml:space="preserve">Alternatives at the act of choice, rather than later changes of thought; freedom not merely intellectual appetite.</w:t>
            </w:r>
          </w:p>
        </w:tc>
        <w:tc>
          <w:tcPr>
            <w:tcW w:type="dxa" w:w="2749"/>
          </w:tcPr>
          <w:p>
            <w:pPr>
              <w:pStyle w:val="BodyText"/>
              <w:keepNext w:val="0"/>
              <w:spacing w:after="80" w:line="252" w:lineRule="auto"/>
              <w:jc w:val="left"/>
            </w:pPr>
            <w:r>
              <w:rPr>
                <w:rFonts w:ascii="Calibri" w:hAnsi="Calibri"/>
                <w:sz w:val="17"/>
              </w:rPr>
              <w:t xml:space="preserve">Current specialist interpretation consulted. Critical d.39 primary collation remains pending; identical intrinsic actuality across possible worlds is not inferred.</w:t>
            </w:r>
          </w:p>
        </w:tc>
      </w:tr>
      <w:tr>
        <w:tc>
          <w:tcPr>
            <w:tcW w:type="dxa" w:w="1689"/>
          </w:tcPr>
          <w:p>
            <w:pPr>
              <w:pStyle w:val="BodyText"/>
              <w:keepNext w:val="0"/>
              <w:spacing w:after="80" w:line="252" w:lineRule="auto"/>
              <w:jc w:val="left"/>
            </w:pPr>
            <w:r>
              <w:rPr>
                <w:rFonts w:ascii="Calibri" w:hAnsi="Calibri"/>
                <w:sz w:val="17"/>
              </w:rPr>
              <w:t xml:space="preserve">Augustine</w:t>
            </w:r>
          </w:p>
        </w:tc>
        <w:tc>
          <w:tcPr>
            <w:tcW w:type="dxa" w:w="2749"/>
          </w:tcPr>
          <w:p>
            <w:pPr>
              <w:pStyle w:val="BodyText"/>
              <w:keepNext w:val="0"/>
              <w:spacing w:after="80" w:line="252" w:lineRule="auto"/>
              <w:jc w:val="left"/>
            </w:pPr>
            <w:r>
              <w:rPr>
                <w:rFonts w:ascii="Calibri" w:hAnsi="Calibri"/>
                <w:sz w:val="17"/>
              </w:rPr>
              <w:t xml:space="preserve">Exemplar intelligence without cognitive acquisition — City of God XI.10, XI.21; De diversis quaestionibus 83 q.46</w:t>
            </w:r>
          </w:p>
        </w:tc>
        <w:tc>
          <w:tcPr>
            <w:tcW w:type="dxa" w:w="2749"/>
          </w:tcPr>
          <w:p>
            <w:pPr>
              <w:pStyle w:val="BodyText"/>
              <w:keepNext w:val="0"/>
              <w:spacing w:after="80" w:line="252" w:lineRule="auto"/>
              <w:jc w:val="left"/>
            </w:pPr>
            <w:r>
              <w:rPr>
                <w:rFonts w:ascii="Calibri" w:hAnsi="Calibri"/>
                <w:sz w:val="17"/>
              </w:rPr>
              <w:t xml:space="preserve">Divine wisdom and immutable knowledge are not received from creatures; ideas are reasons in divine intelligence, rather than external standards.</w:t>
            </w:r>
          </w:p>
        </w:tc>
        <w:tc>
          <w:tcPr>
            <w:tcW w:type="dxa" w:w="2749"/>
          </w:tcPr>
          <w:p>
            <w:pPr>
              <w:pStyle w:val="BodyText"/>
              <w:keepNext w:val="0"/>
              <w:spacing w:after="80" w:line="252" w:lineRule="auto"/>
              <w:jc w:val="left"/>
            </w:pPr>
            <w:r>
              <w:rPr>
                <w:rFonts w:ascii="Calibri" w:hAnsi="Calibri"/>
                <w:sz w:val="17"/>
              </w:rPr>
              <w:t xml:space="preserve">City of God passages are primary witnesses; q.46 remains a primary collation lead in this project.</w:t>
            </w:r>
          </w:p>
        </w:tc>
      </w:tr>
      <w:tr>
        <w:tc>
          <w:tcPr>
            <w:tcW w:type="dxa" w:w="1689"/>
          </w:tcPr>
          <w:p>
            <w:pPr>
              <w:pStyle w:val="BodyText"/>
              <w:keepNext w:val="0"/>
              <w:spacing w:after="80" w:line="252" w:lineRule="auto"/>
              <w:jc w:val="left"/>
            </w:pPr>
            <w:r>
              <w:rPr>
                <w:rFonts w:ascii="Calibri" w:hAnsi="Calibri"/>
                <w:sz w:val="17"/>
              </w:rPr>
              <w:t xml:space="preserve">Dionysius &amp; Maximus</w:t>
            </w:r>
          </w:p>
        </w:tc>
        <w:tc>
          <w:tcPr>
            <w:tcW w:type="dxa" w:w="2749"/>
          </w:tcPr>
          <w:p>
            <w:pPr>
              <w:pStyle w:val="BodyText"/>
              <w:keepNext w:val="0"/>
              <w:spacing w:after="80" w:line="252" w:lineRule="auto"/>
              <w:jc w:val="left"/>
            </w:pPr>
            <w:r>
              <w:rPr>
                <w:rFonts w:ascii="Calibri" w:hAnsi="Calibri"/>
                <w:sz w:val="17"/>
              </w:rPr>
              <w:t xml:space="preserve">Nonpartition &amp; determinate intelligibility — Divine Names II.5, V.8; Ambiguum 7</w:t>
            </w:r>
          </w:p>
        </w:tc>
        <w:tc>
          <w:tcPr>
            <w:tcW w:type="dxa" w:w="2749"/>
          </w:tcPr>
          <w:p>
            <w:pPr>
              <w:pStyle w:val="BodyText"/>
              <w:keepNext w:val="0"/>
              <w:spacing w:after="80" w:line="252" w:lineRule="auto"/>
              <w:jc w:val="left"/>
            </w:pPr>
            <w:r>
              <w:rPr>
                <w:rFonts w:ascii="Calibri" w:hAnsi="Calibri"/>
                <w:sz w:val="17"/>
              </w:rPr>
              <w:t xml:space="preserve">Undivided communication and differentiated logoi support intelligible finite expression without independent Forms.</w:t>
            </w:r>
          </w:p>
        </w:tc>
        <w:tc>
          <w:tcPr>
            <w:tcW w:type="dxa" w:w="2749"/>
          </w:tcPr>
          <w:p>
            <w:pPr>
              <w:pStyle w:val="BodyText"/>
              <w:keepNext w:val="0"/>
              <w:spacing w:after="80" w:line="252" w:lineRule="auto"/>
              <w:jc w:val="left"/>
            </w:pPr>
            <w:r>
              <w:rPr>
                <w:rFonts w:ascii="Calibri" w:hAnsi="Calibri"/>
                <w:sz w:val="17"/>
              </w:rPr>
              <w:t xml:space="preserve">The Greek digital witnesses have OCR/provenance limits. Neither text is made to teach necessary emanation or the proposed specification model.</w:t>
            </w:r>
          </w:p>
        </w:tc>
      </w:tr>
      <w:tr>
        <w:tc>
          <w:tcPr>
            <w:tcW w:type="dxa" w:w="1689"/>
          </w:tcPr>
          <w:p>
            <w:pPr>
              <w:pStyle w:val="BodyText"/>
              <w:keepNext w:val="0"/>
              <w:spacing w:after="80" w:line="252" w:lineRule="auto"/>
              <w:jc w:val="left"/>
            </w:pPr>
            <w:r>
              <w:rPr>
                <w:rFonts w:ascii="Calibri" w:hAnsi="Calibri"/>
                <w:sz w:val="17"/>
              </w:rPr>
              <w:t xml:space="preserve">Bonaventure &amp; Nyssa</w:t>
            </w:r>
          </w:p>
        </w:tc>
        <w:tc>
          <w:tcPr>
            <w:tcW w:type="dxa" w:w="2749"/>
          </w:tcPr>
          <w:p>
            <w:pPr>
              <w:pStyle w:val="BodyText"/>
              <w:keepNext w:val="0"/>
              <w:spacing w:after="80" w:line="252" w:lineRule="auto"/>
              <w:jc w:val="left"/>
            </w:pPr>
            <w:r>
              <w:rPr>
                <w:rFonts w:ascii="Calibri" w:hAnsi="Calibri"/>
                <w:sz w:val="17"/>
              </w:rPr>
              <w:t xml:space="preserve">Continuity with participation — Itinerarium II–III, VI.2; On the Making of Man XVI</w:t>
            </w:r>
          </w:p>
        </w:tc>
        <w:tc>
          <w:tcPr>
            <w:tcW w:type="dxa" w:w="2749"/>
          </w:tcPr>
          <w:p>
            <w:pPr>
              <w:pStyle w:val="BodyText"/>
              <w:keepNext w:val="0"/>
              <w:spacing w:after="80" w:line="252" w:lineRule="auto"/>
              <w:jc w:val="left"/>
            </w:pPr>
            <w:r>
              <w:rPr>
                <w:rFonts w:ascii="Calibri" w:hAnsi="Calibri"/>
                <w:sz w:val="17"/>
              </w:rPr>
              <w:t xml:space="preserve">Exemplar expression and finite measure; unlimited source excess remains a constraint on agency theory.</w:t>
            </w:r>
          </w:p>
        </w:tc>
        <w:tc>
          <w:tcPr>
            <w:tcW w:type="dxa" w:w="2749"/>
          </w:tcPr>
          <w:p>
            <w:pPr>
              <w:pStyle w:val="BodyText"/>
              <w:keepNext w:val="0"/>
              <w:spacing w:after="80" w:line="252" w:lineRule="auto"/>
              <w:jc w:val="left"/>
            </w:pPr>
            <w:r>
              <w:rPr>
                <w:rFonts w:ascii="Calibri" w:hAnsi="Calibri"/>
                <w:sz w:val="17"/>
              </w:rPr>
              <w:t xml:space="preserve">Trinitarian diffusion of goodness is not an argument for necessary created production; Nyssen infinity does not establish modal alternatives.</w:t>
            </w:r>
          </w:p>
        </w:tc>
      </w:tr>
      <w:tr>
        <w:tc>
          <w:tcPr>
            <w:tcW w:type="dxa" w:w="1689"/>
          </w:tcPr>
          <w:p>
            <w:pPr>
              <w:pStyle w:val="BodyText"/>
              <w:keepNext w:val="0"/>
              <w:spacing w:after="80" w:line="252" w:lineRule="auto"/>
              <w:jc w:val="left"/>
            </w:pPr>
            <w:r>
              <w:rPr>
                <w:rFonts w:ascii="Calibri" w:hAnsi="Calibri"/>
                <w:sz w:val="17"/>
              </w:rPr>
              <w:t xml:space="preserve">Eriugena &amp; Przywara</w:t>
            </w:r>
          </w:p>
        </w:tc>
        <w:tc>
          <w:tcPr>
            <w:tcW w:type="dxa" w:w="2749"/>
          </w:tcPr>
          <w:p>
            <w:pPr>
              <w:pStyle w:val="BodyText"/>
              <w:keepNext w:val="0"/>
              <w:spacing w:after="80" w:line="252" w:lineRule="auto"/>
              <w:jc w:val="left"/>
            </w:pPr>
            <w:r>
              <w:rPr>
                <w:rFonts w:ascii="Calibri" w:hAnsi="Calibri"/>
                <w:sz w:val="17"/>
              </w:rPr>
              <w:t xml:space="preserve">Expression / constitution stress test — Periphyseon I.446D, I.455B; Analogia Entis</w:t>
            </w:r>
          </w:p>
        </w:tc>
        <w:tc>
          <w:tcPr>
            <w:tcW w:type="dxa" w:w="2749"/>
          </w:tcPr>
          <w:p>
            <w:pPr>
              <w:pStyle w:val="BodyText"/>
              <w:keepNext w:val="0"/>
              <w:spacing w:after="80" w:line="252" w:lineRule="auto"/>
              <w:jc w:val="left"/>
            </w:pPr>
            <w:r>
              <w:rPr>
                <w:rFonts w:ascii="Calibri" w:hAnsi="Calibri"/>
                <w:sz w:val="17"/>
              </w:rPr>
              <w:t xml:space="preserve">Theophany and the Creator–creature interval test whether real manifestation becomes source constitution.</w:t>
            </w:r>
          </w:p>
        </w:tc>
        <w:tc>
          <w:tcPr>
            <w:tcW w:type="dxa" w:w="2749"/>
          </w:tcPr>
          <w:p>
            <w:pPr>
              <w:pStyle w:val="BodyText"/>
              <w:keepNext w:val="0"/>
              <w:spacing w:after="80" w:line="252" w:lineRule="auto"/>
              <w:jc w:val="left"/>
            </w:pPr>
            <w:r>
              <w:rPr>
                <w:rFonts w:ascii="Calibri" w:hAnsi="Calibri"/>
                <w:sz w:val="17"/>
              </w:rPr>
              <w:t xml:space="preserve">Relevant earlier dossiers are reused; Przywara’s full text remains unconsulted. Greater dissimilarity is not a substitute for a bridge argument.</w:t>
            </w:r>
          </w:p>
        </w:tc>
      </w:tr>
      <w:tr>
        <w:tc>
          <w:tcPr>
            <w:tcW w:type="dxa" w:w="1689"/>
          </w:tcPr>
          <w:p>
            <w:pPr>
              <w:pStyle w:val="BodyText"/>
              <w:keepNext w:val="0"/>
              <w:spacing w:after="80" w:line="252" w:lineRule="auto"/>
              <w:jc w:val="left"/>
            </w:pPr>
            <w:r>
              <w:rPr>
                <w:rFonts w:ascii="Calibri" w:hAnsi="Calibri"/>
                <w:sz w:val="17"/>
              </w:rPr>
              <w:t xml:space="preserve">Newman and further resources</w:t>
            </w:r>
          </w:p>
        </w:tc>
        <w:tc>
          <w:tcPr>
            <w:tcW w:type="dxa" w:w="2749"/>
          </w:tcPr>
          <w:p>
            <w:pPr>
              <w:pStyle w:val="BodyText"/>
              <w:keepNext w:val="0"/>
              <w:spacing w:after="80" w:line="252" w:lineRule="auto"/>
              <w:jc w:val="left"/>
            </w:pPr>
            <w:r>
              <w:rPr>
                <w:rFonts w:ascii="Calibri" w:hAnsi="Calibri"/>
                <w:sz w:val="17"/>
              </w:rPr>
              <w:t xml:space="preserve">Development &amp; adversarial control — Essay on Development ch.V; Vallicella,</w:t>
            </w:r>
            <w:r>
              <w:rPr>
                <w:rFonts w:ascii="Calibri" w:hAnsi="Calibri"/>
                <w:sz w:val="17"/>
              </w:rPr>
              <w:t xml:space="preserve"> </w:t>
            </w:r>
            <w:r>
              <w:rPr>
                <w:rFonts w:ascii="Calibri" w:hAnsi="Calibri"/>
                <w:sz w:val="17"/>
              </w:rPr>
              <w:t xml:space="preserve">“</w:t>
            </w:r>
            <w:r>
              <w:rPr>
                <w:rFonts w:ascii="Calibri" w:hAnsi="Calibri"/>
                <w:sz w:val="17"/>
              </w:rPr>
              <w:t xml:space="preserve">Divine Simplicity,</w:t>
            </w:r>
            <w:r>
              <w:rPr>
                <w:rFonts w:ascii="Calibri" w:hAnsi="Calibri"/>
                <w:sz w:val="17"/>
              </w:rPr>
              <w:t xml:space="preserve">”</w:t>
            </w:r>
            <w:r>
              <w:rPr>
                <w:rFonts w:ascii="Calibri" w:hAnsi="Calibri"/>
                <w:sz w:val="17"/>
              </w:rPr>
              <w:t xml:space="preserve"> </w:t>
            </w:r>
            <w:r>
              <w:rPr>
                <w:rFonts w:ascii="Calibri" w:hAnsi="Calibri"/>
                <w:sz w:val="17"/>
              </w:rPr>
              <w:t xml:space="preserve">§§6–7</w:t>
            </w:r>
          </w:p>
        </w:tc>
        <w:tc>
          <w:tcPr>
            <w:tcW w:type="dxa" w:w="2749"/>
          </w:tcPr>
          <w:p>
            <w:pPr>
              <w:pStyle w:val="BodyText"/>
              <w:keepNext w:val="0"/>
              <w:spacing w:after="80" w:line="252" w:lineRule="auto"/>
              <w:jc w:val="left"/>
            </w:pPr>
            <w:r>
              <w:rPr>
                <w:rFonts w:ascii="Calibri" w:hAnsi="Calibri"/>
                <w:sz w:val="17"/>
              </w:rPr>
              <w:t xml:space="preserve">Organic development may introduce new explanatory concepts; contemporary objections test truthmaking and modal consistency.</w:t>
            </w:r>
          </w:p>
        </w:tc>
        <w:tc>
          <w:tcPr>
            <w:tcW w:type="dxa" w:w="2749"/>
          </w:tcPr>
          <w:p>
            <w:pPr>
              <w:pStyle w:val="BodyText"/>
              <w:keepNext w:val="0"/>
              <w:spacing w:after="80" w:line="252" w:lineRule="auto"/>
              <w:jc w:val="left"/>
            </w:pPr>
            <w:r>
              <w:rPr>
                <w:rFonts w:ascii="Calibri" w:hAnsi="Calibri"/>
                <w:sz w:val="17"/>
              </w:rPr>
              <w:t xml:space="preserve">Newman provides an analogy, not doctrinal certification. Modern discussion does not predetermine the constructive result.</w:t>
            </w:r>
          </w:p>
        </w:tc>
      </w:tr>
    </w:tbl>
    <w:bookmarkEnd w:id="124"/>
    <w:bookmarkStart w:id="125" w:name="Xd78e634de97dd968378de14ccd8ccef1a8fe95e"/>
    <w:p>
      <w:pPr>
        <w:pStyle w:val="Heading3"/>
      </w:pPr>
      <w:r>
        <w:t xml:space="preserve">10 / Development has constraints, not a fixed ceiling.</w:t>
      </w:r>
    </w:p>
    <w:p>
      <w:pPr>
        <w:pStyle w:val="FirstParagraph"/>
      </w:pPr>
      <w:r>
        <w:rPr>
          <w:b/>
          <w:bCs/>
        </w:rPr>
        <w:t xml:space="preserve">Status:</w:t>
      </w:r>
      <w:r>
        <w:t xml:space="preserve"> </w:t>
      </w:r>
      <w:r>
        <w:t xml:space="preserve">Provisional continuity assessment.</w:t>
      </w:r>
    </w:p>
    <w:p>
      <w:pPr>
        <w:pStyle w:val="BodyText"/>
      </w:pPr>
      <w:r>
        <w:t xml:space="preserve">Newman is an analogical methodological guide. Historical continuity neither guarantees metaphysical truth nor forbids a genuinely new explanatory distinction.</w:t>
      </w:r>
    </w:p>
    <w:p>
      <w:pPr>
        <w:pStyle w:val="BodyText"/>
      </w:pPr>
      <w:r>
        <w:t xml:space="preserve">The candidate preserves type by retaining an uncreated source, real finite recipients, communication without partition, and perfection without divine completion. It conserves the distinctions between possibility and actualization, personal origin and created dependence, intelligibility and knowledge. It assimilates exemplarism, rational willing, and live contingency without making their historical vocabularies interchangeable.</w:t>
      </w:r>
    </w:p>
    <w:p>
      <w:pPr>
        <w:pStyle w:val="BodyText"/>
      </w:pPr>
      <w:r>
        <w:t xml:space="preserve">Its positive development is the conjunction of determinate fullness and gratuitous communication. The source need not be emptied of wisdom, goodness, or agency to remain simple; the creature need not become a divine constituent to receive a real good. That conjunction is historically rooted. The relational account of different complete creative actions under X is a further constructive proposal, and its independent warrant remains at issue.</w:t>
      </w:r>
    </w:p>
    <w:p>
      <w:pPr>
        <w:pStyle w:val="BodyText"/>
      </w:pPr>
      <w:r>
        <w:t xml:space="preserve">Logical sequence requires a named bridge at each passage: negative simplicity to warranted positive perfection; fullness to possible communication; alternatives to actual authorship; productive action to knowledge. The proposed architecture preserves the noncomposition theorem while exposing these additional costs. Historical anticipation of its parts is neither proof of the whole nor evidence that it is unprecedented.</w:t>
      </w:r>
    </w:p>
    <w:p>
      <w:pPr>
        <w:pStyle w:val="BodyText"/>
      </w:pPr>
      <w:r>
        <w:t xml:space="preserve">Chronic vigour cannot yet be demonstrated. Present explanatory stability is a provisional test: does the synthesis clarify the difficult joints while preserving real distinctions? If its relational account undermines the defended simplicity account or turns agency into a description of the outcome, development must revise or reject that account rather than harmonize the conflict verbally.</w:t>
      </w:r>
    </w:p>
    <w:bookmarkEnd w:id="125"/>
    <w:bookmarkStart w:id="126" w:name="every-claim-has-an-evidence-status."/>
    <w:p>
      <w:pPr>
        <w:pStyle w:val="Heading3"/>
      </w:pPr>
      <w:r>
        <w:t xml:space="preserve">11 / Every claim has an evidence status.</w:t>
      </w:r>
    </w:p>
    <w:p>
      <w:pPr>
        <w:pStyle w:val="FirstParagraph"/>
      </w:pPr>
      <w:r>
        <w:rPr>
          <w:b/>
          <w:bCs/>
        </w:rPr>
        <w:t xml:space="preserve">Status:</w:t>
      </w:r>
      <w:r>
        <w:t xml:space="preserve"> </w:t>
      </w:r>
      <w:r>
        <w:t xml:space="preserve">Claim-level source ledger.</w:t>
      </w:r>
    </w:p>
    <w:p>
      <w:pPr>
        <w:pStyle w:val="BodyText"/>
      </w:pPr>
      <w:r>
        <w:t xml:space="preserve">Current specialist entries and selected primary passages were inspected. Previously consulted witnesses are distinguished from critical editions and monographs still awaiting direct examination.</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Source</w:t>
            </w:r>
          </w:p>
        </w:tc>
        <w:tc>
          <w:tcPr>
            <w:tcW w:type="dxa" w:w="2749"/>
            <w:shd w:fill="EAE5DA"/>
          </w:tcPr>
          <w:p>
            <w:pPr>
              <w:pStyle w:val="BodyText"/>
              <w:keepNext w:val="0"/>
              <w:spacing w:after="80" w:line="252" w:lineRule="auto"/>
              <w:jc w:val="left"/>
            </w:pPr>
            <w:r>
              <w:rPr>
                <w:rFonts w:ascii="Calibri" w:hAnsi="Calibri"/>
                <w:b/>
                <w:sz w:val="17"/>
              </w:rPr>
              <w:t xml:space="preserve">Status / locus</w:t>
            </w:r>
          </w:p>
        </w:tc>
        <w:tc>
          <w:tcPr>
            <w:tcW w:type="dxa" w:w="2749"/>
            <w:shd w:fill="EAE5DA"/>
          </w:tcPr>
          <w:p>
            <w:pPr>
              <w:pStyle w:val="BodyText"/>
              <w:keepNext w:val="0"/>
              <w:spacing w:after="80" w:line="252" w:lineRule="auto"/>
              <w:jc w:val="left"/>
            </w:pPr>
            <w:r>
              <w:rPr>
                <w:rFonts w:ascii="Calibri" w:hAnsi="Calibri"/>
                <w:b/>
                <w:sz w:val="17"/>
              </w:rPr>
              <w:t xml:space="preserve">Establishes</w:t>
            </w:r>
          </w:p>
        </w:tc>
        <w:tc>
          <w:tcPr>
            <w:tcW w:type="dxa" w:w="2749"/>
            <w:shd w:fill="EAE5DA"/>
          </w:tcPr>
          <w:p>
            <w:pPr>
              <w:pStyle w:val="BodyText"/>
              <w:keepNext w:val="0"/>
              <w:spacing w:after="80" w:line="252" w:lineRule="auto"/>
              <w:jc w:val="left"/>
            </w:pPr>
            <w:r>
              <w:rPr>
                <w:rFonts w:ascii="Calibri" w:hAnsi="Calibri"/>
                <w:b/>
                <w:sz w:val="17"/>
              </w:rPr>
              <w:t xml:space="preserve">Constructive use / limits</w:t>
            </w:r>
          </w:p>
        </w:tc>
      </w:tr>
      <w:tr>
        <w:tc>
          <w:tcPr>
            <w:tcW w:type="dxa" w:w="1689"/>
          </w:tcPr>
          <w:p>
            <w:pPr>
              <w:pStyle w:val="BodyText"/>
              <w:keepNext w:val="0"/>
              <w:spacing w:after="80" w:line="252" w:lineRule="auto"/>
              <w:jc w:val="left"/>
            </w:pPr>
            <w:hyperlink r:id="rId87">
              <w:r>
                <w:rPr>
                  <w:rStyle w:val="Hyperlink"/>
                </w:rPr>
                <w:t xml:space="preserve">Aquinas: constitution–dependence</w:t>
              </w:r>
            </w:hyperlink>
          </w:p>
        </w:tc>
        <w:tc>
          <w:tcPr>
            <w:tcW w:type="dxa" w:w="2749"/>
          </w:tcPr>
          <w:p>
            <w:pPr>
              <w:pStyle w:val="BodyText"/>
              <w:keepNext w:val="0"/>
              <w:spacing w:after="80" w:line="252" w:lineRule="auto"/>
              <w:jc w:val="left"/>
            </w:pPr>
            <w:r>
              <w:rPr>
                <w:rFonts w:ascii="Calibri" w:hAnsi="Calibri"/>
                <w:sz w:val="17"/>
              </w:rPr>
              <w:t xml:space="preserve">primary — ST I q.3 a.7, answer</w:t>
            </w:r>
          </w:p>
        </w:tc>
        <w:tc>
          <w:tcPr>
            <w:tcW w:type="dxa" w:w="2749"/>
          </w:tcPr>
          <w:p>
            <w:pPr>
              <w:pStyle w:val="BodyText"/>
              <w:keepNext w:val="0"/>
              <w:spacing w:after="80" w:line="252" w:lineRule="auto"/>
              <w:jc w:val="left"/>
            </w:pPr>
            <w:r>
              <w:rPr>
                <w:rFonts w:ascii="Calibri" w:hAnsi="Calibri"/>
                <w:sz w:val="17"/>
              </w:rPr>
              <w:t xml:space="preserve">English Dominican Fathers, Complete American Edition; Gutenberg #17611 mirror. An explicit argument within Aquinas’s broader first-being and act/potency framework.</w:t>
            </w:r>
          </w:p>
        </w:tc>
        <w:tc>
          <w:tcPr>
            <w:tcW w:type="dxa" w:w="2749"/>
          </w:tcPr>
          <w:p>
            <w:pPr>
              <w:pStyle w:val="BodyText"/>
              <w:keepNext w:val="0"/>
              <w:spacing w:after="80" w:line="252" w:lineRule="auto"/>
              <w:jc w:val="left"/>
            </w:pPr>
            <w:r>
              <w:rPr>
                <w:rFonts w:ascii="Calibri" w:hAnsi="Calibri"/>
                <w:sz w:val="17"/>
              </w:rPr>
              <w:t xml:space="preserve">KD is retrieved as a separately defended bridge; its universal truth is not established by attribution.</w:t>
            </w:r>
          </w:p>
        </w:tc>
      </w:tr>
      <w:tr>
        <w:tc>
          <w:tcPr>
            <w:tcW w:type="dxa" w:w="1689"/>
          </w:tcPr>
          <w:p>
            <w:pPr>
              <w:pStyle w:val="BodyText"/>
              <w:keepNext w:val="0"/>
              <w:spacing w:after="80" w:line="252" w:lineRule="auto"/>
              <w:jc w:val="left"/>
            </w:pPr>
            <w:hyperlink r:id="rId87">
              <w:r>
                <w:rPr>
                  <w:rStyle w:val="Hyperlink"/>
                </w:rPr>
                <w:t xml:space="preserve">Aquinas: plenitude and optional communication</w:t>
              </w:r>
            </w:hyperlink>
          </w:p>
        </w:tc>
        <w:tc>
          <w:tcPr>
            <w:tcW w:type="dxa" w:w="2749"/>
          </w:tcPr>
          <w:p>
            <w:pPr>
              <w:pStyle w:val="BodyText"/>
              <w:keepNext w:val="0"/>
              <w:spacing w:after="80" w:line="252" w:lineRule="auto"/>
              <w:jc w:val="left"/>
            </w:pPr>
            <w:r>
              <w:rPr>
                <w:rFonts w:ascii="Calibri" w:hAnsi="Calibri"/>
                <w:sz w:val="17"/>
              </w:rPr>
              <w:t xml:space="preserve">primary — ST I q.19 aa.2–3, especially a.3 answer and ad5</w:t>
            </w:r>
          </w:p>
        </w:tc>
        <w:tc>
          <w:tcPr>
            <w:tcW w:type="dxa" w:w="2749"/>
          </w:tcPr>
          <w:p>
            <w:pPr>
              <w:pStyle w:val="BodyText"/>
              <w:keepNext w:val="0"/>
              <w:spacing w:after="80" w:line="252" w:lineRule="auto"/>
              <w:jc w:val="left"/>
            </w:pPr>
            <w:r>
              <w:rPr>
                <w:rFonts w:ascii="Calibri" w:hAnsi="Calibri"/>
                <w:sz w:val="17"/>
              </w:rPr>
              <w:t xml:space="preserve">Same inspected primary translation. A rational-volitional argument and explicit self-determination claim, stronger than non-exhaustion alone.</w:t>
            </w:r>
          </w:p>
        </w:tc>
        <w:tc>
          <w:tcPr>
            <w:tcW w:type="dxa" w:w="2749"/>
          </w:tcPr>
          <w:p>
            <w:pPr>
              <w:pStyle w:val="BodyText"/>
              <w:keepNext w:val="0"/>
              <w:spacing w:after="80" w:line="252" w:lineRule="auto"/>
              <w:jc w:val="left"/>
            </w:pPr>
            <w:r>
              <w:rPr>
                <w:rFonts w:ascii="Calibri" w:hAnsi="Calibri"/>
                <w:sz w:val="17"/>
              </w:rPr>
              <w:t xml:space="preserve">Candidate warrant for gift-oriented specification; voluntariness and alternatives remain independently assessed.</w:t>
            </w:r>
          </w:p>
        </w:tc>
      </w:tr>
      <w:tr>
        <w:tc>
          <w:tcPr>
            <w:tcW w:type="dxa" w:w="1689"/>
          </w:tcPr>
          <w:p>
            <w:pPr>
              <w:pStyle w:val="BodyText"/>
              <w:keepNext w:val="0"/>
              <w:spacing w:after="80" w:line="252" w:lineRule="auto"/>
              <w:jc w:val="left"/>
            </w:pPr>
            <w:hyperlink r:id="rId87">
              <w:r>
                <w:rPr>
                  <w:rStyle w:val="Hyperlink"/>
                </w:rPr>
                <w:t xml:space="preserve">Aquinas: knowing through self as cause</w:t>
              </w:r>
            </w:hyperlink>
          </w:p>
        </w:tc>
        <w:tc>
          <w:tcPr>
            <w:tcW w:type="dxa" w:w="2749"/>
          </w:tcPr>
          <w:p>
            <w:pPr>
              <w:pStyle w:val="BodyText"/>
              <w:keepNext w:val="0"/>
              <w:spacing w:after="80" w:line="252" w:lineRule="auto"/>
              <w:jc w:val="left"/>
            </w:pPr>
            <w:r>
              <w:rPr>
                <w:rFonts w:ascii="Calibri" w:hAnsi="Calibri"/>
                <w:sz w:val="17"/>
              </w:rPr>
              <w:t xml:space="preserve">primary — ST I q.14 aa.5, 8; q.19 a.3 ad6</w:t>
            </w:r>
          </w:p>
        </w:tc>
        <w:tc>
          <w:tcPr>
            <w:tcW w:type="dxa" w:w="2749"/>
          </w:tcPr>
          <w:p>
            <w:pPr>
              <w:pStyle w:val="BodyText"/>
              <w:keepNext w:val="0"/>
              <w:spacing w:after="80" w:line="252" w:lineRule="auto"/>
              <w:jc w:val="left"/>
            </w:pPr>
            <w:r>
              <w:rPr>
                <w:rFonts w:ascii="Calibri" w:hAnsi="Calibri"/>
                <w:sz w:val="17"/>
              </w:rPr>
              <w:t xml:space="preserve">Same inspected primary translation. Distinctions among intelligible content, actual production, and epistemic/causal direction.</w:t>
            </w:r>
          </w:p>
        </w:tc>
        <w:tc>
          <w:tcPr>
            <w:tcW w:type="dxa" w:w="2749"/>
          </w:tcPr>
          <w:p>
            <w:pPr>
              <w:pStyle w:val="BodyText"/>
              <w:keepNext w:val="0"/>
              <w:spacing w:after="80" w:line="252" w:lineRule="auto"/>
              <w:jc w:val="left"/>
            </w:pPr>
            <w:r>
              <w:rPr>
                <w:rFonts w:ascii="Calibri" w:hAnsi="Calibri"/>
                <w:sz w:val="17"/>
              </w:rPr>
              <w:t xml:space="preserve">Supports the proposed direction; does not alone prove awareness of one’s own contingent intentional action.</w:t>
            </w:r>
          </w:p>
        </w:tc>
      </w:tr>
      <w:tr>
        <w:tc>
          <w:tcPr>
            <w:tcW w:type="dxa" w:w="1689"/>
          </w:tcPr>
          <w:p>
            <w:pPr>
              <w:pStyle w:val="BodyText"/>
              <w:keepNext w:val="0"/>
              <w:spacing w:after="80" w:line="252" w:lineRule="auto"/>
              <w:jc w:val="left"/>
            </w:pPr>
            <w:hyperlink r:id="rId91">
              <w:r>
                <w:rPr>
                  <w:rStyle w:val="Hyperlink"/>
                </w:rPr>
                <w:t xml:space="preserve">Thomas Williams: John Duns Scotus</w:t>
              </w:r>
            </w:hyperlink>
          </w:p>
        </w:tc>
        <w:tc>
          <w:tcPr>
            <w:tcW w:type="dxa" w:w="2749"/>
          </w:tcPr>
          <w:p>
            <w:pPr>
              <w:pStyle w:val="BodyText"/>
              <w:keepNext w:val="0"/>
              <w:spacing w:after="80" w:line="252" w:lineRule="auto"/>
              <w:jc w:val="left"/>
            </w:pPr>
            <w:r>
              <w:rPr>
                <w:rFonts w:ascii="Calibri" w:hAnsi="Calibri"/>
                <w:sz w:val="17"/>
              </w:rPr>
              <w:t xml:space="preserve">secondary — SEP §5.2; also §4.2 for intuitive cognition</w:t>
            </w:r>
          </w:p>
        </w:tc>
        <w:tc>
          <w:tcPr>
            <w:tcW w:type="dxa" w:w="2749"/>
          </w:tcPr>
          <w:p>
            <w:pPr>
              <w:pStyle w:val="BodyText"/>
              <w:keepNext w:val="0"/>
              <w:spacing w:after="80" w:line="252" w:lineRule="auto"/>
              <w:jc w:val="left"/>
            </w:pPr>
            <w:r>
              <w:rPr>
                <w:rFonts w:ascii="Calibri" w:hAnsi="Calibri"/>
                <w:sz w:val="17"/>
              </w:rPr>
              <w:t xml:space="preserve">Current publisher entry, substantive revision 15 December 2025; inspected. A specialist reconstruction with Dumont/MacDonald and Cross references.</w:t>
            </w:r>
          </w:p>
        </w:tc>
        <w:tc>
          <w:tcPr>
            <w:tcW w:type="dxa" w:w="2749"/>
          </w:tcPr>
          <w:p>
            <w:pPr>
              <w:pStyle w:val="BodyText"/>
              <w:keepNext w:val="0"/>
              <w:spacing w:after="80" w:line="252" w:lineRule="auto"/>
              <w:jc w:val="left"/>
            </w:pPr>
            <w:r>
              <w:rPr>
                <w:rFonts w:ascii="Calibri" w:hAnsi="Calibri"/>
                <w:sz w:val="17"/>
              </w:rPr>
              <w:t xml:space="preserve">Modal and epistemic resources, with its interpretation of the Aquinas contrast retained as interpretation.</w:t>
            </w:r>
          </w:p>
        </w:tc>
      </w:tr>
      <w:tr>
        <w:tc>
          <w:tcPr>
            <w:tcW w:type="dxa" w:w="1689"/>
          </w:tcPr>
          <w:p>
            <w:pPr>
              <w:pStyle w:val="BodyText"/>
              <w:keepNext w:val="0"/>
              <w:spacing w:after="80" w:line="252" w:lineRule="auto"/>
              <w:jc w:val="left"/>
            </w:pPr>
            <w:hyperlink r:id="rId93">
              <w:r>
                <w:rPr>
                  <w:rStyle w:val="Hyperlink"/>
                </w:rPr>
                <w:t xml:space="preserve">Thomas Williams: Anselm of Canterbury</w:t>
              </w:r>
            </w:hyperlink>
          </w:p>
        </w:tc>
        <w:tc>
          <w:tcPr>
            <w:tcW w:type="dxa" w:w="2749"/>
          </w:tcPr>
          <w:p>
            <w:pPr>
              <w:pStyle w:val="BodyText"/>
              <w:keepNext w:val="0"/>
              <w:spacing w:after="80" w:line="252" w:lineRule="auto"/>
              <w:jc w:val="left"/>
            </w:pPr>
            <w:r>
              <w:rPr>
                <w:rFonts w:ascii="Calibri" w:hAnsi="Calibri"/>
                <w:sz w:val="17"/>
              </w:rPr>
              <w:t xml:space="preserve">secondary — SEP §§4.1–4.2; DLA 3, DV 12</w:t>
            </w:r>
          </w:p>
        </w:tc>
        <w:tc>
          <w:tcPr>
            <w:tcW w:type="dxa" w:w="2749"/>
          </w:tcPr>
          <w:p>
            <w:pPr>
              <w:pStyle w:val="BodyText"/>
              <w:keepNext w:val="0"/>
              <w:spacing w:after="80" w:line="252" w:lineRule="auto"/>
              <w:jc w:val="left"/>
            </w:pPr>
            <w:r>
              <w:rPr>
                <w:rFonts w:ascii="Calibri" w:hAnsi="Calibri"/>
                <w:sz w:val="17"/>
              </w:rPr>
              <w:t xml:space="preserve">Publisher entry, substantive revision 16 July 2023; inspected. Anselm’s moral freedom account, with exact primary references.</w:t>
            </w:r>
          </w:p>
        </w:tc>
        <w:tc>
          <w:tcPr>
            <w:tcW w:type="dxa" w:w="2749"/>
          </w:tcPr>
          <w:p>
            <w:pPr>
              <w:pStyle w:val="BodyText"/>
              <w:keepNext w:val="0"/>
              <w:spacing w:after="80" w:line="252" w:lineRule="auto"/>
              <w:jc w:val="left"/>
            </w:pPr>
            <w:r>
              <w:rPr>
                <w:rFonts w:ascii="Calibri" w:hAnsi="Calibri"/>
                <w:sz w:val="17"/>
              </w:rPr>
              <w:t xml:space="preserve">Separates rational excellence from a lottery. Direct DLA/DV edition collation remains an additional source task.</w:t>
            </w:r>
          </w:p>
        </w:tc>
      </w:tr>
      <w:tr>
        <w:tc>
          <w:tcPr>
            <w:tcW w:type="dxa" w:w="1689"/>
          </w:tcPr>
          <w:p>
            <w:pPr>
              <w:pStyle w:val="BodyText"/>
              <w:keepNext w:val="0"/>
              <w:spacing w:after="80" w:line="252" w:lineRule="auto"/>
              <w:jc w:val="left"/>
            </w:pPr>
            <w:hyperlink r:id="rId95">
              <w:r>
                <w:rPr>
                  <w:rStyle w:val="Hyperlink"/>
                </w:rPr>
                <w:t xml:space="preserve">William F. Vallicella: Divine Simplicity</w:t>
              </w:r>
            </w:hyperlink>
          </w:p>
        </w:tc>
        <w:tc>
          <w:tcPr>
            <w:tcW w:type="dxa" w:w="2749"/>
          </w:tcPr>
          <w:p>
            <w:pPr>
              <w:pStyle w:val="BodyText"/>
              <w:keepNext w:val="0"/>
              <w:spacing w:after="80" w:line="252" w:lineRule="auto"/>
              <w:jc w:val="left"/>
            </w:pPr>
            <w:r>
              <w:rPr>
                <w:rFonts w:ascii="Calibri" w:hAnsi="Calibri"/>
                <w:sz w:val="17"/>
              </w:rPr>
              <w:t xml:space="preserve">secondary — SEP §§6–7; truthmaker models and modal collapse</w:t>
            </w:r>
          </w:p>
        </w:tc>
        <w:tc>
          <w:tcPr>
            <w:tcW w:type="dxa" w:w="2749"/>
          </w:tcPr>
          <w:p>
            <w:pPr>
              <w:pStyle w:val="BodyText"/>
              <w:keepNext w:val="0"/>
              <w:spacing w:after="80" w:line="252" w:lineRule="auto"/>
              <w:jc w:val="left"/>
            </w:pPr>
            <w:r>
              <w:rPr>
                <w:rFonts w:ascii="Calibri" w:hAnsi="Calibri"/>
                <w:sz w:val="17"/>
              </w:rPr>
              <w:t xml:space="preserve">Current publisher text, copyright 2023; selected sections inspected. A substantive adversarial survey, including Brower/Grant disagreements.</w:t>
            </w:r>
          </w:p>
        </w:tc>
        <w:tc>
          <w:tcPr>
            <w:tcW w:type="dxa" w:w="2749"/>
          </w:tcPr>
          <w:p>
            <w:pPr>
              <w:pStyle w:val="BodyText"/>
              <w:keepNext w:val="0"/>
              <w:spacing w:after="80" w:line="252" w:lineRule="auto"/>
              <w:jc w:val="left"/>
            </w:pPr>
            <w:r>
              <w:rPr>
                <w:rFonts w:ascii="Calibri" w:hAnsi="Calibri"/>
                <w:sz w:val="17"/>
              </w:rPr>
              <w:t xml:space="preserve">The new exercise model is tested against these objections; no assertion that every critic or defender is refuted.</w:t>
            </w:r>
          </w:p>
        </w:tc>
      </w:tr>
      <w:tr>
        <w:tc>
          <w:tcPr>
            <w:tcW w:type="dxa" w:w="1689"/>
          </w:tcPr>
          <w:p>
            <w:pPr>
              <w:pStyle w:val="BodyText"/>
              <w:keepNext w:val="0"/>
              <w:spacing w:after="80" w:line="252" w:lineRule="auto"/>
              <w:jc w:val="left"/>
            </w:pPr>
            <w:hyperlink r:id="rId97">
              <w:r>
                <w:rPr>
                  <w:rStyle w:val="Hyperlink"/>
                </w:rPr>
                <w:t xml:space="preserve">Edward Wierenga: Omniscience</w:t>
              </w:r>
            </w:hyperlink>
          </w:p>
        </w:tc>
        <w:tc>
          <w:tcPr>
            <w:tcW w:type="dxa" w:w="2749"/>
          </w:tcPr>
          <w:p>
            <w:pPr>
              <w:pStyle w:val="BodyText"/>
              <w:keepNext w:val="0"/>
              <w:spacing w:after="80" w:line="252" w:lineRule="auto"/>
              <w:jc w:val="left"/>
            </w:pPr>
            <w:r>
              <w:rPr>
                <w:rFonts w:ascii="Calibri" w:hAnsi="Calibri"/>
                <w:sz w:val="17"/>
              </w:rPr>
              <w:t xml:space="preserve">secondary — SEP §§1–3</w:t>
            </w:r>
          </w:p>
        </w:tc>
        <w:tc>
          <w:tcPr>
            <w:tcW w:type="dxa" w:w="2749"/>
          </w:tcPr>
          <w:p>
            <w:pPr>
              <w:pStyle w:val="BodyText"/>
              <w:keepNext w:val="0"/>
              <w:spacing w:after="80" w:line="252" w:lineRule="auto"/>
              <w:jc w:val="left"/>
            </w:pPr>
            <w:r>
              <w:rPr>
                <w:rFonts w:ascii="Calibri" w:hAnsi="Calibri"/>
                <w:sz w:val="17"/>
              </w:rPr>
              <w:t xml:space="preserve">Publisher entry, substantive revision 10 May 2025; selected discussions inspected. Definitions and competing accounts of cognitive adequacy.</w:t>
            </w:r>
          </w:p>
        </w:tc>
        <w:tc>
          <w:tcPr>
            <w:tcW w:type="dxa" w:w="2749"/>
          </w:tcPr>
          <w:p>
            <w:pPr>
              <w:pStyle w:val="BodyText"/>
              <w:keepNext w:val="0"/>
              <w:spacing w:after="80" w:line="252" w:lineRule="auto"/>
              <w:jc w:val="left"/>
            </w:pPr>
            <w:r>
              <w:rPr>
                <w:rFonts w:ascii="Calibri" w:hAnsi="Calibri"/>
                <w:sz w:val="17"/>
              </w:rPr>
              <w:t xml:space="preserve">Prevents the scoped productive-knowledge proposal from being mislabeled demonstrated omniscience.</w:t>
            </w:r>
          </w:p>
        </w:tc>
      </w:tr>
      <w:tr>
        <w:tc>
          <w:tcPr>
            <w:tcW w:type="dxa" w:w="1689"/>
          </w:tcPr>
          <w:p>
            <w:pPr>
              <w:pStyle w:val="BodyText"/>
              <w:keepNext w:val="0"/>
              <w:spacing w:after="80" w:line="252" w:lineRule="auto"/>
              <w:jc w:val="left"/>
            </w:pPr>
            <w:hyperlink r:id="rId99">
              <w:r>
                <w:rPr>
                  <w:rStyle w:val="Hyperlink"/>
                </w:rPr>
                <w:t xml:space="preserve">Augustine: City of God</w:t>
              </w:r>
            </w:hyperlink>
          </w:p>
        </w:tc>
        <w:tc>
          <w:tcPr>
            <w:tcW w:type="dxa" w:w="2749"/>
          </w:tcPr>
          <w:p>
            <w:pPr>
              <w:pStyle w:val="BodyText"/>
              <w:keepNext w:val="0"/>
              <w:spacing w:after="80" w:line="252" w:lineRule="auto"/>
              <w:jc w:val="left"/>
            </w:pPr>
            <w:r>
              <w:rPr>
                <w:rFonts w:ascii="Calibri" w:hAnsi="Calibri"/>
                <w:sz w:val="17"/>
              </w:rPr>
              <w:t xml:space="preserve">primary — XI.10 and XI.21</w:t>
            </w:r>
          </w:p>
        </w:tc>
        <w:tc>
          <w:tcPr>
            <w:tcW w:type="dxa" w:w="2749"/>
          </w:tcPr>
          <w:p>
            <w:pPr>
              <w:pStyle w:val="BodyText"/>
              <w:keepNext w:val="0"/>
              <w:spacing w:after="80" w:line="252" w:lineRule="auto"/>
              <w:jc w:val="left"/>
            </w:pPr>
            <w:r>
              <w:rPr>
                <w:rFonts w:ascii="Calibri" w:hAnsi="Calibri"/>
                <w:sz w:val="17"/>
              </w:rPr>
              <w:t xml:space="preserve">Marcus Dods translation; consulted project primary witness, XI.21 rechecked for this inquiry. An explicit non-reception witness in Augustine’s theology.</w:t>
            </w:r>
          </w:p>
        </w:tc>
        <w:tc>
          <w:tcPr>
            <w:tcW w:type="dxa" w:w="2749"/>
          </w:tcPr>
          <w:p>
            <w:pPr>
              <w:pStyle w:val="BodyText"/>
              <w:keepNext w:val="0"/>
              <w:spacing w:after="80" w:line="252" w:lineRule="auto"/>
              <w:jc w:val="left"/>
            </w:pPr>
            <w:r>
              <w:rPr>
                <w:rFonts w:ascii="Calibri" w:hAnsi="Calibri"/>
                <w:sz w:val="17"/>
              </w:rPr>
              <w:t xml:space="preserve">Does not itself derive knowledge of the actual action from the minimal source profile.</w:t>
            </w:r>
          </w:p>
        </w:tc>
      </w:tr>
      <w:tr>
        <w:tc>
          <w:tcPr>
            <w:tcW w:type="dxa" w:w="1689"/>
          </w:tcPr>
          <w:p>
            <w:pPr>
              <w:pStyle w:val="BodyText"/>
              <w:keepNext w:val="0"/>
              <w:spacing w:after="80" w:line="252" w:lineRule="auto"/>
              <w:jc w:val="left"/>
            </w:pPr>
            <w:hyperlink r:id="rId101">
              <w:r>
                <w:rPr>
                  <w:rStyle w:val="Hyperlink"/>
                </w:rPr>
                <w:t xml:space="preserve">Dionysius / Maximus: digital Greek witnesses</w:t>
              </w:r>
            </w:hyperlink>
          </w:p>
        </w:tc>
        <w:tc>
          <w:tcPr>
            <w:tcW w:type="dxa" w:w="2749"/>
          </w:tcPr>
          <w:p>
            <w:pPr>
              <w:pStyle w:val="BodyText"/>
              <w:keepNext w:val="0"/>
              <w:spacing w:after="80" w:line="252" w:lineRule="auto"/>
              <w:jc w:val="left"/>
            </w:pPr>
            <w:r>
              <w:rPr>
                <w:rFonts w:ascii="Calibri" w:hAnsi="Calibri"/>
                <w:sz w:val="17"/>
              </w:rPr>
              <w:t xml:space="preserve">primary — DN II.5, V.8; Ambiguum 7, PG 91 1077–1081</w:t>
            </w:r>
          </w:p>
        </w:tc>
        <w:tc>
          <w:tcPr>
            <w:tcW w:type="dxa" w:w="2749"/>
          </w:tcPr>
          <w:p>
            <w:pPr>
              <w:pStyle w:val="BodyText"/>
              <w:keepNext w:val="0"/>
              <w:spacing w:after="80" w:line="252" w:lineRule="auto"/>
              <w:jc w:val="left"/>
            </w:pPr>
            <w:r>
              <w:rPr>
                <w:rFonts w:ascii="Calibri" w:hAnsi="Calibri"/>
                <w:sz w:val="17"/>
              </w:rPr>
              <w:t xml:space="preserve">Earlier project consultation: academic unproofread PG OCR and provisional Ambigua transcription. Bounded textual support with edition/provenance qualifications.</w:t>
            </w:r>
          </w:p>
        </w:tc>
        <w:tc>
          <w:tcPr>
            <w:tcW w:type="dxa" w:w="2749"/>
          </w:tcPr>
          <w:p>
            <w:pPr>
              <w:pStyle w:val="BodyText"/>
              <w:keepNext w:val="0"/>
              <w:spacing w:after="80" w:line="252" w:lineRule="auto"/>
              <w:jc w:val="left"/>
            </w:pPr>
            <w:r>
              <w:rPr>
                <w:rFonts w:ascii="Calibri" w:hAnsi="Calibri"/>
                <w:sz w:val="17"/>
              </w:rPr>
              <w:t xml:space="preserve">Constructive retrieval, not attribution of the proposed account of agency or new modal semantics.</w:t>
            </w:r>
          </w:p>
        </w:tc>
      </w:tr>
      <w:tr>
        <w:tc>
          <w:tcPr>
            <w:tcW w:type="dxa" w:w="1689"/>
          </w:tcPr>
          <w:p>
            <w:pPr>
              <w:pStyle w:val="BodyText"/>
              <w:keepNext w:val="0"/>
              <w:spacing w:after="80" w:line="252" w:lineRule="auto"/>
              <w:jc w:val="left"/>
            </w:pPr>
            <w:hyperlink r:id="rId103">
              <w:r>
                <w:rPr>
                  <w:rStyle w:val="Hyperlink"/>
                </w:rPr>
                <w:t xml:space="preserve">Newman: Essay on Development</w:t>
              </w:r>
            </w:hyperlink>
          </w:p>
        </w:tc>
        <w:tc>
          <w:tcPr>
            <w:tcW w:type="dxa" w:w="2749"/>
          </w:tcPr>
          <w:p>
            <w:pPr>
              <w:pStyle w:val="BodyText"/>
              <w:keepNext w:val="0"/>
              <w:spacing w:after="80" w:line="252" w:lineRule="auto"/>
              <w:jc w:val="left"/>
            </w:pPr>
            <w:r>
              <w:rPr>
                <w:rFonts w:ascii="Calibri" w:hAnsi="Calibri"/>
                <w:sz w:val="17"/>
              </w:rPr>
              <w:t xml:space="preserve">primary — Chapter V, opening §4 and §§I–VII</w:t>
            </w:r>
          </w:p>
        </w:tc>
        <w:tc>
          <w:tcPr>
            <w:tcW w:type="dxa" w:w="2749"/>
          </w:tcPr>
          <w:p>
            <w:pPr>
              <w:pStyle w:val="BodyText"/>
              <w:keepNext w:val="0"/>
              <w:spacing w:after="80" w:line="252" w:lineRule="auto"/>
              <w:jc w:val="left"/>
            </w:pPr>
            <w:r>
              <w:rPr>
                <w:rFonts w:ascii="Calibri" w:hAnsi="Calibri"/>
                <w:sz w:val="17"/>
              </w:rPr>
              <w:t xml:space="preserve">Gutenberg #35110 mirror; chapter V inspected in the project. An actual methodological source; seventh note is chronic vigour.</w:t>
            </w:r>
          </w:p>
        </w:tc>
        <w:tc>
          <w:tcPr>
            <w:tcW w:type="dxa" w:w="2749"/>
          </w:tcPr>
          <w:p>
            <w:pPr>
              <w:pStyle w:val="BodyText"/>
              <w:keepNext w:val="0"/>
              <w:spacing w:after="80" w:line="252" w:lineRule="auto"/>
              <w:jc w:val="left"/>
            </w:pPr>
            <w:r>
              <w:rPr>
                <w:rFonts w:ascii="Calibri" w:hAnsi="Calibri"/>
                <w:sz w:val="17"/>
              </w:rPr>
              <w:t xml:space="preserve">Analogical continuity assessment, not ecclesial recognition of this model.</w:t>
            </w:r>
          </w:p>
        </w:tc>
      </w:tr>
      <w:tr>
        <w:tc>
          <w:tcPr>
            <w:tcW w:type="dxa" w:w="1689"/>
          </w:tcPr>
          <w:p>
            <w:pPr>
              <w:pStyle w:val="BodyText"/>
              <w:keepNext w:val="0"/>
              <w:spacing w:after="80" w:line="252" w:lineRule="auto"/>
              <w:jc w:val="left"/>
            </w:pPr>
            <w:hyperlink r:id="rId58">
              <w:r>
                <w:rPr>
                  <w:rStyle w:val="Hyperlink"/>
                </w:rPr>
                <w:t xml:space="preserve">Critical primary texts and specialist monographs</w:t>
              </w:r>
            </w:hyperlink>
          </w:p>
        </w:tc>
        <w:tc>
          <w:tcPr>
            <w:tcW w:type="dxa" w:w="2749"/>
          </w:tcPr>
          <w:p>
            <w:pPr>
              <w:pStyle w:val="BodyText"/>
              <w:keepNext w:val="0"/>
              <w:spacing w:after="80" w:line="252" w:lineRule="auto"/>
              <w:jc w:val="left"/>
            </w:pPr>
            <w:r>
              <w:rPr>
                <w:rFonts w:ascii="Calibri" w:hAnsi="Calibri"/>
                <w:sz w:val="17"/>
              </w:rPr>
              <w:t xml:space="preserve">pending — Scotus Lectura I d.39; Anselm DLA/DV; Constas Ambigua; Grant 2012; Brower 2009; Przywara Analogia Entis</w:t>
            </w:r>
          </w:p>
        </w:tc>
        <w:tc>
          <w:tcPr>
            <w:tcW w:type="dxa" w:w="2749"/>
          </w:tcPr>
          <w:p>
            <w:pPr>
              <w:pStyle w:val="BodyText"/>
              <w:keepNext w:val="0"/>
              <w:spacing w:after="80" w:line="252" w:lineRule="auto"/>
              <w:jc w:val="left"/>
            </w:pPr>
            <w:r>
              <w:rPr>
                <w:rFonts w:ascii="Calibri" w:hAnsi="Calibri"/>
                <w:sz w:val="17"/>
              </w:rPr>
              <w:t xml:space="preserve">Precise leads and bibliographic limits in the detailed dossiers. No new primary or monograph consultation is claimed here.</w:t>
            </w:r>
          </w:p>
        </w:tc>
        <w:tc>
          <w:tcPr>
            <w:tcW w:type="dxa" w:w="2749"/>
          </w:tcPr>
          <w:p>
            <w:pPr>
              <w:pStyle w:val="BodyText"/>
              <w:keepNext w:val="0"/>
              <w:spacing w:after="80" w:line="252" w:lineRule="auto"/>
              <w:jc w:val="left"/>
            </w:pPr>
            <w:r>
              <w:rPr>
                <w:rFonts w:ascii="Calibri" w:hAnsi="Calibri"/>
                <w:sz w:val="17"/>
              </w:rPr>
              <w:t xml:space="preserve">These sources are not silently counted as evidence already read.</w:t>
            </w:r>
          </w:p>
        </w:tc>
      </w:tr>
    </w:tbl>
    <w:bookmarkEnd w:id="126"/>
    <w:bookmarkStart w:id="127" w:name="determinate-fullness.-gratuitous-action."/>
    <w:p>
      <w:pPr>
        <w:pStyle w:val="Heading3"/>
      </w:pPr>
      <w:r>
        <w:t xml:space="preserve">12 / Determinate fullness. Gratuitous action.</w:t>
      </w:r>
    </w:p>
    <w:p>
      <w:pPr>
        <w:pStyle w:val="FirstParagraph"/>
      </w:pPr>
      <w:r>
        <w:rPr>
          <w:b/>
          <w:bCs/>
        </w:rPr>
        <w:t xml:space="preserve">Status:</w:t>
      </w:r>
      <w:r>
        <w:t xml:space="preserve"> </w:t>
      </w:r>
      <w:r>
        <w:t xml:space="preserve">Scoped verdict.</w:t>
      </w:r>
    </w:p>
    <w:p>
      <w:pPr>
        <w:pStyle w:val="BodyText"/>
      </w:pPr>
      <w:r>
        <w:t xml:space="preserve">The constructive achievement is an explicit account of what simple, intelligent, free communication would require, with distinct warrants for its decisive passages.</w:t>
      </w:r>
    </w:p>
    <w:p>
      <w:pPr>
        <w:pStyle w:val="BodyText"/>
      </w:pPr>
      <w:r>
        <w:t xml:space="preserve">KD + U give noncomposition. The sixfold audit extends the classical inquiry to received actuality, unity, determination, existence, and essential perfection when the relevant dependence is independently defended. Perfection without reception adds the positive result: a warranted perfection belongs without a more basic intrinsic principle completing the source. It neither proves every perfection nor earns a seventh independent route.</w:t>
      </w:r>
    </w:p>
    <w:p>
      <w:pPr>
        <w:pStyle w:val="BodyText"/>
      </w:pPr>
      <w:r>
        <w:t xml:space="preserve">The gift model explains why communication can be good for a recipient without repairing the giver. Live alternatives establish modal openness; reasons render giving intelligible; actual control makes the gift the agent’s; efficacy makes its intended effect real. These are four contributions, not four descriptions of one unexplained output.</w:t>
      </w:r>
    </w:p>
    <w:p>
      <w:pPr>
        <w:pStyle w:val="BodyText"/>
      </w:pPr>
      <w:r>
        <w:t xml:space="preserve">The relational proposal asks whether different complete intentional actions can originate with the same intrinsic divine actuality. Its strongest surviving rival places the difference in noncomposite intrinsic intentions across possible worlds. X excludes that rival only if its own stronger account is defended; the absence of parts or temporal change does not decide the dispute.</w:t>
      </w:r>
    </w:p>
    <w:p>
      <w:pPr>
        <w:pStyle w:val="BodyText"/>
      </w:pPr>
      <w:r>
        <w:t xml:space="preserve">Productive knowledge then explains an adequately disclosed effect through warranted awareness of the actual intelligent action that produces it. Knowledge of possibilities and bare causal power would be insufficient. Secondary free acts and comprehensive omniscience require further cognitive arguments, even where Catholic theology independently receives the doctrinal claims.</w:t>
      </w:r>
    </w:p>
    <w:p>
      <w:pPr>
        <w:pStyle w:val="BodyText"/>
      </w:pPr>
      <w:r>
        <w:t xml:space="preserve">Explanation finally stops, in this proposal, at actual voluntary action and its warranted self-awareness. The action supplies authorship rather than a prior necessitating selector. That is the indispensable bridge to defend. The philosophical gain is a clear test: does it explain intelligent direction and successful production without requiring creation to constitute, inform, or complete God?</w:t>
      </w:r>
    </w:p>
    <w:bookmarkEnd w:id="127"/>
    <w:bookmarkStart w:id="128" w:name="formal-statement-and-stopping-point"/>
    <w:p>
      <w:pPr>
        <w:pStyle w:val="Heading3"/>
      </w:pPr>
      <w:r>
        <w:t xml:space="preserve">Formal statement and stopping point</w:t>
      </w:r>
    </w:p>
    <w:p>
      <w:pPr>
        <w:pStyle w:val="SourceCode"/>
      </w:pPr>
      <w:r>
        <w:rPr>
          <w:rStyle w:val="VerbatimChar"/>
        </w:rPr>
        <w:t xml:space="preserve">U(g) ∧ KD ⇒ ¬∃z K(z,g).</w:t>
      </w:r>
      <w:r>
        <w:br/>
      </w:r>
      <w:r>
        <w:rPr>
          <w:rStyle w:val="VerbatimChar"/>
        </w:rPr>
        <w:t xml:space="preserve">M ∧ I ∧ A ∧ T ⇒ the proposed controlled intentional action that brings about its intended effect.</w:t>
      </w:r>
      <w:r>
        <w:br/>
      </w:r>
      <w:r>
        <w:rPr>
          <w:rStyle w:val="VerbatimChar"/>
        </w:rPr>
        <w:t xml:space="preserve">R ∧ CT ∧ EP ⇒ warranted knowledge of what the action brings about, when the agent has adequate access.</w:t>
      </w:r>
      <w:r>
        <w:br/>
      </w:r>
      <w:r>
        <w:rPr>
          <w:rStyle w:val="VerbatimChar"/>
        </w:rPr>
        <w:t xml:space="preserve">X is additional to noncomposition, and M is additional to fullness.</w:t>
      </w:r>
      <w:r>
        <w:br/>
      </w:r>
      <w:r>
        <w:rPr>
          <w:rStyle w:val="VerbatimChar"/>
        </w:rPr>
        <w:t xml:space="preserve">Actual intentional action and adequate knowledge of it remain additional assumptions.</w:t>
      </w:r>
    </w:p>
    <w:p>
      <w:pPr>
        <w:pStyle w:val="FirstParagraph"/>
      </w:pPr>
      <w:r>
        <w:t xml:space="preserve">The sparse checker treats representation, control, intended/effective alignment, access, and knowledge separately. It does not generate knowledge merely by assigning matching access tokens. All results remain relative to the declared semantics. The stronger combined no-creation/X profile can supply another route to source noncomposition; the formal dossier explains why deleting KD does not automatically remove that conclusion in every retained theory.</w:t>
      </w:r>
    </w:p>
    <w:p>
      <w:pPr>
        <w:pStyle w:val="BodyText"/>
      </w:pPr>
      <w:r>
        <w:t xml:space="preserve">Read the</w:t>
      </w:r>
      <w:r>
        <w:t xml:space="preserve"> </w:t>
      </w:r>
      <w:hyperlink r:id="rId57">
        <w:r>
          <w:rPr>
            <w:rStyle w:val="Hyperlink"/>
          </w:rPr>
          <w:t xml:space="preserve">formal audit</w:t>
        </w:r>
      </w:hyperlink>
      <w:r>
        <w:t xml:space="preserve">,</w:t>
      </w:r>
      <w:r>
        <w:t xml:space="preserve"> </w:t>
      </w:r>
      <w:hyperlink r:id="rId58">
        <w:r>
          <w:rPr>
            <w:rStyle w:val="Hyperlink"/>
          </w:rPr>
          <w:t xml:space="preserve">source dossier</w:t>
        </w:r>
      </w:hyperlink>
      <w:r>
        <w:t xml:space="preserve">, and</w:t>
      </w:r>
      <w:r>
        <w:t xml:space="preserve"> </w:t>
      </w:r>
      <w:hyperlink r:id="rId59">
        <w:r>
          <w:rPr>
            <w:rStyle w:val="Hyperlink"/>
          </w:rPr>
          <w:t xml:space="preserve">Newman-style assessment</w:t>
        </w:r>
      </w:hyperlink>
      <w:r>
        <w:t xml:space="preserve">.​ The interactive page is at https:/​/​participation-​6o4.​pages.​dev/​beyond-​participation/​.​</w:t>
      </w:r>
    </w:p>
    <w:bookmarkEnd w:id="128"/>
    <w:bookmarkStart w:id="135" w:name="questions-and-answers"/>
    <w:p>
      <w:pPr>
        <w:pStyle w:val="Heading3"/>
      </w:pPr>
      <w:r>
        <w:t xml:space="preserve">Questions and answers</w:t>
      </w:r>
    </w:p>
    <w:p>
      <w:pPr>
        <w:pStyle w:val="FirstParagraph"/>
      </w:pPr>
      <w:r>
        <w:t xml:space="preserve">What underivation establishes, what freedom requires, and what still needs an argument.</w:t>
      </w:r>
    </w:p>
    <w:bookmarkStart w:id="130" w:name="X5cf6334b3ce939cbfab1ad178142774ee506d70"/>
    <w:p>
      <w:pPr>
        <w:pStyle w:val="Heading4"/>
      </w:pPr>
      <w:r>
        <w:t xml:space="preserve">4. What follows from God’s being underived, and does that establish divine simplicity?</w:t>
      </w:r>
    </w:p>
    <w:p>
      <w:pPr>
        <w:pStyle w:val="FirstParagraph"/>
      </w:pPr>
      <w:r>
        <w:t xml:space="preserve">Absolute underivation excludes receiving the actuality of one’s being from anything more fundamental. With a further principle that proper intrinsic constituents ground the actuality of the whole they constitute, it excludes such constituents in God. Being merely efficiently uncaused would be weaker: an uncaused whole might still depend upon its constituting principles. The argument must address that deeper dependence.</w:t>
      </w:r>
    </w:p>
    <w:p>
      <w:pPr>
        <w:pStyle w:val="BodyText"/>
      </w:pPr>
      <w:r>
        <w:t xml:space="preserve">The broader simplicity inquiry tests distinct alleged conditions: an actualizer, a unifier, constituents, a constituting natural measure, received existence, and added essential perfection-realities. Each exclusion needs its own bridge; a real distinction is not automatically one of these conditions. Positive fullness also needs another step. First warrant a perfection such as understanding; then ask whether its possession could be received without contradicting underivation. Simplicity governs how a warranted perfection belongs to God. It cannot manufacture the perfection by subtracting parts.</w:t>
      </w:r>
    </w:p>
    <w:bookmarkStart w:id="129" w:name="Xbc81008fc7967905c42e03e1460c4ddc33a2f54"/>
    <w:p>
      <w:pPr>
        <w:pStyle w:val="Heading5"/>
      </w:pPr>
      <w:r>
        <w:t xml:space="preserve">The premises behind this answer: Constituents as grounds of a whole</w:t>
      </w:r>
    </w:p>
    <w:p>
      <w:pPr>
        <w:pStyle w:val="FirstParagraph"/>
      </w:pPr>
      <w:r>
        <w:t xml:space="preserve">Uses underivation U and the composition–dependence bridge KD. It does not add the stronger claim of identical intrinsic actuality across alternatives.</w:t>
      </w:r>
    </w:p>
    <w:p>
      <w:pPr>
        <w:pStyle w:val="BodyText"/>
      </w:pPr>
      <w:r>
        <w:t xml:space="preserve">Adopt these premises:</w:t>
      </w:r>
    </w:p>
    <w:p>
      <w:pPr>
        <w:pStyle w:val="Compact"/>
        <w:numPr>
          <w:ilvl w:val="0"/>
          <w:numId w:val="1001"/>
        </w:numPr>
      </w:pPr>
      <w:r>
        <w:t xml:space="preserve">Absolute underivation excludes constitutive as well as efficient dependence in the actuality by which the source exists.</w:t>
      </w:r>
    </w:p>
    <w:p>
      <w:pPr>
        <w:pStyle w:val="Compact"/>
        <w:numPr>
          <w:ilvl w:val="0"/>
          <w:numId w:val="1001"/>
        </w:numPr>
      </w:pPr>
      <w:r>
        <w:t xml:space="preserve">When intrinsic constituents make a whole the actual whole it is, its actuality is grounded in their contribution and unity.</w:t>
      </w:r>
    </w:p>
    <w:p>
      <w:pPr>
        <w:pStyle w:val="FirstParagraph"/>
      </w:pPr>
      <w:r>
        <w:t xml:space="preserve">Why adopt them?</w:t>
      </w:r>
    </w:p>
    <w:p>
      <w:pPr>
        <w:pStyle w:val="BodyText"/>
      </w:pPr>
      <w:r>
        <w:t xml:space="preserve">The constituents need not occur earlier in time. Their explanatory role is enough: the whole is what it is through them, even if they coexist necessarily with it. Calling the assembly uncaused does not remove that constitutive explanation. This follows the dependence argument explicit in Aquinas, Summa Theologiae I, question 3, article 7, while requiring constitution to be identified independently rather than defined as dependence.</w:t>
      </w:r>
    </w:p>
    <w:p>
      <w:pPr>
        <w:pStyle w:val="BodyText"/>
      </w:pPr>
      <w:r>
        <w:t xml:space="preserve">What follows if they hold?</w:t>
      </w:r>
    </w:p>
    <w:p>
      <w:pPr>
        <w:pStyle w:val="BodyText"/>
      </w:pPr>
      <w:r>
        <w:t xml:space="preserve">An absolutely underived source has no proper intrinsic constituents that constitute its being. Where positive perfection is independently established, underivation additionally excludes its possession through a more basic intrinsic actualizer. The negative exclusion and the positive attribution do different work.</w:t>
      </w:r>
    </w:p>
    <w:p>
      <w:pPr>
        <w:pStyle w:val="BodyText"/>
      </w:pPr>
      <w:r>
        <w:t xml:space="preserve">What remains to defend: A distinction is excluded only if it does the relevant constituting or actualizing work. Stronger attribute identity and intrinsic sameness across possibilities require further arguments.</w:t>
      </w:r>
    </w:p>
    <w:p>
      <w:pPr>
        <w:pStyle w:val="BodyText"/>
      </w:pPr>
      <w:hyperlink r:id="rId66">
        <w:r>
          <w:rPr>
            <w:rStyle w:val="Hyperlink"/>
          </w:rPr>
          <w:t xml:space="preserve">How far the simplicity argument reaches</w:t>
        </w:r>
      </w:hyperlink>
      <w:r>
        <w:t xml:space="preserve"> </w:t>
      </w:r>
      <w:r>
        <w:t xml:space="preserve">·</w:t>
      </w:r>
      <w:r>
        <w:t xml:space="preserve"> </w:t>
      </w:r>
      <w:hyperlink r:id="rId67">
        <w:r>
          <w:rPr>
            <w:rStyle w:val="Hyperlink"/>
          </w:rPr>
          <w:t xml:space="preserve">Distinct routes and additional premises</w:t>
        </w:r>
      </w:hyperlink>
    </w:p>
    <w:bookmarkEnd w:id="129"/>
    <w:bookmarkEnd w:id="130"/>
    <w:bookmarkStart w:id="132" w:name="Xc12e64c97a16978881d4743915c465699f05d81"/>
    <w:p>
      <w:pPr>
        <w:pStyle w:val="Heading4"/>
      </w:pPr>
      <w:r>
        <w:t xml:space="preserve">5. If God is complete and inexhaustible, why would creation be contingent rather than necessary?</w:t>
      </w:r>
    </w:p>
    <w:p>
      <w:pPr>
        <w:pStyle w:val="FirstParagraph"/>
      </w:pPr>
      <w:r>
        <w:t xml:space="preserve">Completeness and inexhaustibility alone do not establish contingency. A source could necessarily produce one finite world while remaining unlimited, undivided, and uncompleted by that world. The world’s failure to exhaust its source does not show that the world could have been absent. Likewise, production without need could still be necessary production.</w:t>
      </w:r>
    </w:p>
    <w:p>
      <w:pPr>
        <w:pStyle w:val="BodyText"/>
      </w:pPr>
      <w:r>
        <w:t xml:space="preserve">A further modal argument must warrant genuinely different possible created orders and, for the stronger claim, a genuine no-creation alternative. The proposal distinguishes those possibilities from the absence of just one particular creature. Aquinas’s account of optional expressions of complete goodness and Scotus’s treatment of contingency supply resources, rather than conclusions deduced from non-exhaustion. Christian teaching affirms free creation; this research asks what independently defensible metaphysical principles articulate that commitment. Even warranted alternatives would establish openness, not yet intelligent choice or freedom from every form of necessity.</w:t>
      </w:r>
    </w:p>
    <w:bookmarkStart w:id="131" w:name="X17db8639b5c81cced5c03265251c3fe62bf06be"/>
    <w:p>
      <w:pPr>
        <w:pStyle w:val="Heading5"/>
      </w:pPr>
      <w:r>
        <w:t xml:space="preserve">The premises behind this answer: Voluntary action and complete goodness</w:t>
      </w:r>
    </w:p>
    <w:p>
      <w:pPr>
        <w:pStyle w:val="FirstParagraph"/>
      </w:pPr>
      <w:r>
        <w:t xml:space="preserve">Adds rational agency, genuine modal alternatives, and voluntary action to divine completeness and non-exhaustion.</w:t>
      </w:r>
    </w:p>
    <w:p>
      <w:pPr>
        <w:pStyle w:val="BodyText"/>
      </w:pPr>
      <w:r>
        <w:t xml:space="preserve">Adopt these premises:</w:t>
      </w:r>
    </w:p>
    <w:p>
      <w:pPr>
        <w:pStyle w:val="Compact"/>
        <w:numPr>
          <w:ilvl w:val="0"/>
          <w:numId w:val="1002"/>
        </w:numPr>
      </w:pPr>
      <w:r>
        <w:t xml:space="preserve">The source is a rational agent whose goodness is complete independently of every finite created expression.</w:t>
      </w:r>
    </w:p>
    <w:p>
      <w:pPr>
        <w:pStyle w:val="Compact"/>
        <w:numPr>
          <w:ilvl w:val="0"/>
          <w:numId w:val="1002"/>
        </w:numPr>
      </w:pPr>
      <w:r>
        <w:t xml:space="preserve">A rational agent’s necessary orientation to its complete good need not necessitate a particular expression that neither constitutes that good nor is required for it.</w:t>
      </w:r>
    </w:p>
    <w:p>
      <w:pPr>
        <w:pStyle w:val="Compact"/>
        <w:numPr>
          <w:ilvl w:val="0"/>
          <w:numId w:val="1002"/>
        </w:numPr>
      </w:pPr>
      <w:r>
        <w:t xml:space="preserve">Its active power genuinely extends to alternative fitting expressions and to refraining; these are metaphysical possibilities, rather than merely conceivable descriptions.</w:t>
      </w:r>
    </w:p>
    <w:p>
      <w:pPr>
        <w:pStyle w:val="Compact"/>
        <w:numPr>
          <w:ilvl w:val="0"/>
          <w:numId w:val="1002"/>
        </w:numPr>
      </w:pPr>
      <w:r>
        <w:t xml:space="preserve">The agent actually determines its voluntary action for understood reasons; alternatives are not settled by an independent random or necessitating process.</w:t>
      </w:r>
    </w:p>
    <w:p>
      <w:pPr>
        <w:pStyle w:val="FirstParagraph"/>
      </w:pPr>
      <w:r>
        <w:t xml:space="preserve">Why adopt them?</w:t>
      </w:r>
    </w:p>
    <w:p>
      <w:pPr>
        <w:pStyle w:val="BodyText"/>
      </w:pPr>
      <w:r>
        <w:t xml:space="preserve">Aquinas distinguishes willing the complete end from necessarily willing every finite thing ordered toward it in Summa Theologiae I, question 19, articles 2–3. This makes the alternative intelligible: communication can express goodness already possessed rather than actualize a deficient giver. The modal conclusion also needs voluntary power with genuine alternatives. The end/means argument alone does not exclude every independent necessity that a rival could posit. Fitting alternatives can answer reasons for generosity without a uniquely obligatory expression.</w:t>
      </w:r>
    </w:p>
    <w:p>
      <w:pPr>
        <w:pStyle w:val="BodyText"/>
      </w:pPr>
      <w:r>
        <w:t xml:space="preserve">Necessarily, if an infallibly efficacious intention toward this world is actually exercised, this world exists. It does not follow that the intention must be exercised. To force that conclusion, the rival needs a further premise making the complete world-specific intention necessary. The proposed account places the contingent difference in voluntary direction; defending that account remains part of the inquiry.</w:t>
      </w:r>
    </w:p>
    <w:p>
      <w:pPr>
        <w:pStyle w:val="BodyText"/>
      </w:pPr>
      <w:r>
        <w:t xml:space="preserve">What follows if they hold?</w:t>
      </w:r>
    </w:p>
    <w:p>
      <w:pPr>
        <w:pStyle w:val="BodyText"/>
      </w:pPr>
      <w:r>
        <w:t xml:space="preserve">Given those powers and alternatives, creation can be a voluntary expression of complete goodness, including a genuine possibility of no created expression.</w:t>
      </w:r>
    </w:p>
    <w:p>
      <w:pPr>
        <w:pStyle w:val="BodyText"/>
      </w:pPr>
      <w:r>
        <w:t xml:space="preserve">What remains to defend: Rational agency, multi-outcome creative power, and actual voluntary choice are additional commitments. None follows from non-exhaustion alone.</w:t>
      </w:r>
    </w:p>
    <w:p>
      <w:pPr>
        <w:pStyle w:val="BodyText"/>
      </w:pPr>
      <w:hyperlink r:id="rId74">
        <w:r>
          <w:rPr>
            <w:rStyle w:val="Hyperlink"/>
          </w:rPr>
          <w:t xml:space="preserve">The necessary-emanation countermodel</w:t>
        </w:r>
      </w:hyperlink>
      <w:r>
        <w:t xml:space="preserve"> </w:t>
      </w:r>
      <w:r>
        <w:t xml:space="preserve">·</w:t>
      </w:r>
      <w:r>
        <w:t xml:space="preserve"> </w:t>
      </w:r>
      <w:hyperlink r:id="rId75">
        <w:r>
          <w:rPr>
            <w:rStyle w:val="Hyperlink"/>
          </w:rPr>
          <w:t xml:space="preserve">The earlier freedom test</w:t>
        </w:r>
      </w:hyperlink>
    </w:p>
    <w:bookmarkEnd w:id="131"/>
    <w:bookmarkEnd w:id="132"/>
    <w:bookmarkStart w:id="134" w:name="X17035502c9d8ef15daeca7734b2630477ce5587"/>
    <w:p>
      <w:pPr>
        <w:pStyle w:val="Heading4"/>
      </w:pPr>
      <w:r>
        <w:t xml:space="preserve">6. What makes possible alternatives a free intelligent act rather than random branching?</w:t>
      </w:r>
    </w:p>
    <w:p>
      <w:pPr>
        <w:pStyle w:val="FirstParagraph"/>
      </w:pPr>
      <w:r>
        <w:t xml:space="preserve">A free intelligent action requires four contributions. Real alternatives establish what could occur. Reasons explain why an outcome is fitting. Actual voluntary direction makes this outcome the agent’s doing. Efficacy explains why the intended result occurs. Mere branching establishes none of the last three. An intention can fail; an outcome can occur accidentally; an agent can understand alternatives without acting. Keeping these contributions distinct makes the positive account of agency assessable.</w:t>
      </w:r>
    </w:p>
    <w:p>
      <w:pPr>
        <w:pStyle w:val="BodyText"/>
      </w:pPr>
      <w:r>
        <w:t xml:space="preserve">A reason can make several actions intelligible without necessitating one uniquely. This allows rational action without reducing choice to either compulsion or a lottery. But invoking reasons and control does not yet demonstrate that an underived source has them, or settle every objection concerning explanation of the particular choice. Intelligent agency is an additional commitment requiring defense. The next question is harder still: what makes this actual intention distinct from another while preserving the proposed divine simplicity?</w:t>
      </w:r>
    </w:p>
    <w:bookmarkStart w:id="133" w:name="X89df5966716cfc89d5eaa4af7f21819647d3752"/>
    <w:p>
      <w:pPr>
        <w:pStyle w:val="Heading5"/>
      </w:pPr>
      <w:r>
        <w:t xml:space="preserve">The premises behind this answer: Reason-guided control of actual action</w:t>
      </w:r>
    </w:p>
    <w:p>
      <w:pPr>
        <w:pStyle w:val="FirstParagraph"/>
      </w:pPr>
      <w:r>
        <w:t xml:space="preserve">Adds understanding, actual control, and successful intentional production to the modal alternatives.</w:t>
      </w:r>
    </w:p>
    <w:p>
      <w:pPr>
        <w:pStyle w:val="BodyText"/>
      </w:pPr>
      <w:r>
        <w:t xml:space="preserve">Adopt these premises:</w:t>
      </w:r>
    </w:p>
    <w:p>
      <w:pPr>
        <w:pStyle w:val="Compact"/>
        <w:numPr>
          <w:ilvl w:val="0"/>
          <w:numId w:val="1003"/>
        </w:numPr>
      </w:pPr>
      <w:r>
        <w:t xml:space="preserve">The agent understands live possibilities and reasons making an intended end fitting.</w:t>
      </w:r>
    </w:p>
    <w:p>
      <w:pPr>
        <w:pStyle w:val="Compact"/>
        <w:numPr>
          <w:ilvl w:val="0"/>
          <w:numId w:val="1003"/>
        </w:numPr>
      </w:pPr>
      <w:r>
        <w:t xml:space="preserve">The agent actually controls its choice and action; a necessitating mechanism or accidental branching does not settle the outcome in its place.</w:t>
      </w:r>
    </w:p>
    <w:p>
      <w:pPr>
        <w:pStyle w:val="Compact"/>
        <w:numPr>
          <w:ilvl w:val="0"/>
          <w:numId w:val="1003"/>
        </w:numPr>
      </w:pPr>
      <w:r>
        <w:t xml:space="preserve">The action effectively produces its intended result.</w:t>
      </w:r>
    </w:p>
    <w:p>
      <w:pPr>
        <w:pStyle w:val="FirstParagraph"/>
      </w:pPr>
      <w:r>
        <w:t xml:space="preserve">Why adopt them?</w:t>
      </w:r>
    </w:p>
    <w:p>
      <w:pPr>
        <w:pStyle w:val="BodyText"/>
      </w:pPr>
      <w:r>
        <w:t xml:space="preserve">Understanding explains what the action is for; control explains why it is the agent’s doing; efficacy explains why the intended outcome occurs. These contributions cannot replace one another. Several actions may answer the same reason, so a reason can justify a choice without uniquely necessitating it. The account accepts actual voluntary agency as an explanatory starting point, rather than inventing a prior choosing act that would repeat the question indefinitely.</w:t>
      </w:r>
    </w:p>
    <w:p>
      <w:pPr>
        <w:pStyle w:val="BodyText"/>
      </w:pPr>
      <w:r>
        <w:t xml:space="preserve">What follows if they hold?</w:t>
      </w:r>
    </w:p>
    <w:p>
      <w:pPr>
        <w:pStyle w:val="BodyText"/>
      </w:pPr>
      <w:r>
        <w:t xml:space="preserve">An outcome can be intelligently authored rather than merely possible or accidental. Its explanation includes reasons and the agent’s actual control, even when those reasons do not necessitate that single outcome.</w:t>
      </w:r>
    </w:p>
    <w:p>
      <w:pPr>
        <w:pStyle w:val="BodyText"/>
      </w:pPr>
      <w:r>
        <w:t xml:space="preserve">What remains to defend: This is a positive account of irreducible voluntary agency. Its application to God, and its compatibility with stronger divine simplicity, require independent defense.</w:t>
      </w:r>
    </w:p>
    <w:p>
      <w:pPr>
        <w:pStyle w:val="BodyText"/>
      </w:pPr>
      <w:hyperlink r:id="rId82">
        <w:r>
          <w:rPr>
            <w:rStyle w:val="Hyperlink"/>
          </w:rPr>
          <w:t xml:space="preserve">Why branching is not authorship</w:t>
        </w:r>
      </w:hyperlink>
      <w:r>
        <w:t xml:space="preserve"> </w:t>
      </w:r>
      <w:r>
        <w:t xml:space="preserve">·</w:t>
      </w:r>
      <w:r>
        <w:t xml:space="preserve"> </w:t>
      </w:r>
      <w:hyperlink r:id="rId83">
        <w:r>
          <w:rPr>
            <w:rStyle w:val="Hyperlink"/>
          </w:rPr>
          <w:t xml:space="preserve">The problem of determinate intention</w:t>
        </w:r>
      </w:hyperlink>
      <w:r>
        <w:t xml:space="preserve"> </w:t>
      </w:r>
      <w:r>
        <w:t xml:space="preserve">·</w:t>
      </w:r>
      <w:r>
        <w:t xml:space="preserve"> </w:t>
      </w:r>
      <w:hyperlink r:id="rId84">
        <w:r>
          <w:rPr>
            <w:rStyle w:val="Hyperlink"/>
          </w:rPr>
          <w:t xml:space="preserve">Divine agency and actual action</w:t>
        </w:r>
      </w:hyperlink>
    </w:p>
    <w:bookmarkEnd w:id="133"/>
    <w:bookmarkEnd w:id="134"/>
    <w:bookmarkEnd w:id="135"/>
    <w:bookmarkEnd w:id="136"/>
    <w:p>
      <w:pPr>
        <w:pStyle w:val="Heading1"/>
      </w:pPr>
      <w:r>
        <w:t xml:space="preserve">Appendix B — beyond-formal.md</w:t>
      </w:r>
    </w:p>
    <w:p>
      <w:pPr>
        <w:pStyle w:val="FirstParagraph"/>
      </w:pPr>
      <w:r>
        <w:t xml:space="preserve">Original research file: https:/​/​participation-​6o4.​pages.​dev/​research/​beyond-​formal.​md</w:t>
      </w:r>
    </w:p>
    <w:bookmarkStart w:id="147" w:name="X36f263b80482761743e0dfaf6d3df1dd00d9c88"/>
    <w:p>
      <w:pPr>
        <w:pStyle w:val="Heading2"/>
      </w:pPr>
      <w:r>
        <w:t xml:space="preserve">Beyond Participation: formal reconstruction and adversarial audit</w:t>
      </w:r>
    </w:p>
    <w:p>
      <w:pPr>
        <w:pStyle w:val="FirstParagraph"/>
      </w:pPr>
      <w:r>
        <w:t xml:space="preserve">This is a constructive account of divine action, not an attribution of the complete model to a historical author. It asks which additional agency and knowledge premises can extend the Participation grammar. Model-relative consistency and independence do not prove the metaphysical truth or divine instantiation of those resources.</w:t>
      </w:r>
    </w:p>
    <w:bookmarkStart w:id="138" w:name="starting-theory-and-scope"/>
    <w:p>
      <w:pPr>
        <w:pStyle w:val="Heading3"/>
      </w:pPr>
      <w:r>
        <w:t xml:space="preserve">Starting theory and scope</w:t>
      </w:r>
    </w:p>
    <w:p>
      <w:pPr>
        <w:pStyle w:val="FirstParagraph"/>
      </w:pPr>
      <w:r>
        <w:t xml:space="preserve">Retain Part I’s factive productive causation</w:t>
      </w:r>
      <w:r>
        <w:t xml:space="preserve"> </w:t>
      </w:r>
      <w:r>
        <w:rPr>
          <w:rStyle w:val="VerbatimChar"/>
        </w:rPr>
        <w:t xml:space="preserve">C(y,x,q)</w:t>
      </w:r>
      <w:r>
        <w:t xml:space="preserve">, dependence</w:t>
      </w:r>
      <w:r>
        <w:t xml:space="preserve"> </w:t>
      </w:r>
      <w:r>
        <w:rPr>
          <w:rStyle w:val="VerbatimChar"/>
        </w:rPr>
        <w:t xml:space="preserve">D(x,y,r)</w:t>
      </w:r>
      <w:r>
        <w:t xml:space="preserve">, qualitative realization</w:t>
      </w:r>
      <w:r>
        <w:t xml:space="preserve"> </w:t>
      </w:r>
      <w:r>
        <w:rPr>
          <w:rStyle w:val="VerbatimChar"/>
        </w:rPr>
        <w:t xml:space="preserve">H(x,q,m)</w:t>
      </w:r>
      <w:r>
        <w:t xml:space="preserve">, proper constituency</w:t>
      </w:r>
      <w:r>
        <w:t xml:space="preserve"> </w:t>
      </w:r>
      <w:r>
        <w:rPr>
          <w:rStyle w:val="VerbatimChar"/>
        </w:rPr>
        <w:t xml:space="preserve">K(z,x)</w:t>
      </w:r>
      <w:r>
        <w:t xml:space="preserve">, and intrinsic profile</w:t>
      </w:r>
      <w:r>
        <w:t xml:space="preserve"> </w:t>
      </w:r>
      <w:r>
        <w:rPr>
          <w:rStyle w:val="VerbatimChar"/>
        </w:rPr>
        <w:t xml:space="preserve">J(x)</w:t>
      </w:r>
      <w:r>
        <w:t xml:space="preserve">. Actuality</w:t>
      </w:r>
      <w:r>
        <w:t xml:space="preserve"> </w:t>
      </w:r>
      <w:r>
        <w:rPr>
          <w:rStyle w:val="VerbatimChar"/>
        </w:rPr>
        <w:t xml:space="preserve">A(x)</w:t>
      </w:r>
      <w:r>
        <w:t xml:space="preserve"> </w:t>
      </w:r>
      <w:r>
        <w:t xml:space="preserve">abbreviates</w:t>
      </w:r>
      <w:r>
        <w:t xml:space="preserve"> </w:t>
      </w:r>
      <w:r>
        <w:rPr>
          <w:rStyle w:val="VerbatimChar"/>
        </w:rPr>
        <w:t xml:space="preserve">∃m H(x,e,m)</w:t>
      </w:r>
      <w:r>
        <w:t xml:space="preserve">. Modes, worlds, identity, and background constraints remain disclosed. The nine Part I clauses are G, CP, U, Q, KD, KH, FS, FC, X. See</w:t>
      </w:r>
      <w:r>
        <w:t xml:space="preserve"> </w:t>
      </w:r>
      <w:hyperlink r:id="rId137">
        <w:r>
          <w:rPr>
            <w:rStyle w:val="Hyperlink"/>
          </w:rPr>
          <w:t xml:space="preserve">the original formal architecture</w:t>
        </w:r>
      </w:hyperlink>
      <w:r>
        <w:t xml:space="preserve">.</w:t>
      </w:r>
    </w:p>
    <w:p>
      <w:pPr>
        <w:pStyle w:val="BodyText"/>
      </w:pPr>
      <w:r>
        <w:t xml:space="preserve">G sources every actual other’s positive realization. CP connects productive cause to dependence; Q connects source production to corresponding qualitative content. U denies source dependence. KD connects proper constitution to dependence. KH controls actual constituent capacities. FS/FC compare unbounded source and bounded recipient actuality in</w:t>
      </w:r>
      <w:r>
        <w:t xml:space="preserve"> </w:t>
      </w:r>
      <w:r>
        <w:rPr>
          <w:rStyle w:val="VerbatimChar"/>
        </w:rPr>
        <w:t xml:space="preserve">e</w:t>
      </w:r>
      <w:r>
        <w:t xml:space="preserve">. X says that the source’s intrinsic actuality is the same across admitted possible created outcomes. For divine action, God does not acquire an intrinsic actuality by creating this world rather than another. This claim is additional; it is not a theorem of having no parts.</w:t>
      </w:r>
    </w:p>
    <w:p>
      <w:pPr>
        <w:pStyle w:val="BodyText"/>
      </w:pPr>
      <w:r>
        <w:t xml:space="preserve">The source profile remains conditional; source existence and unlimited intellect are not derived. The domain covers created actualities and their proposed source, not independent divine hypostases or a complete theory of Trinity, incarnation, and grace. A no-creation case means no created actuality, not the denial of uncreated divine distinctions.</w:t>
      </w:r>
    </w:p>
    <w:p>
      <w:pPr>
        <w:pStyle w:val="BodyText"/>
      </w:pPr>
      <w:r>
        <w:t xml:space="preserve">The proposed follow-up report named in an earlier brief was not supplied. This reconstruction uses the actual Part I files, consulted primary sources, and current specialist scholarship; no unseen document is presumed to establish its preferred answer.</w:t>
      </w:r>
    </w:p>
    <w:bookmarkEnd w:id="138"/>
    <w:bookmarkStart w:id="139" w:name="formal-vocabulary-for-intentional-action"/>
    <w:p>
      <w:pPr>
        <w:pStyle w:val="Heading3"/>
      </w:pPr>
      <w:r>
        <w:t xml:space="preserve">Formal vocabulary for intentional action</w:t>
      </w:r>
    </w:p>
    <w:p>
      <w:pPr>
        <w:pStyle w:val="FirstParagraph"/>
      </w:pPr>
      <w:r>
        <w:t xml:space="preserve">Use possible-plan indices</w:t>
      </w:r>
      <w:r>
        <w:t xml:space="preserve"> </w:t>
      </w:r>
      <w:r>
        <w:rPr>
          <w:rStyle w:val="VerbatimChar"/>
        </w:rPr>
        <w:t xml:space="preserve">p</w:t>
      </w:r>
      <w:r>
        <w:t xml:space="preserve"> </w:t>
      </w:r>
      <w:r>
        <w:t xml:space="preserve">and action indices</w:t>
      </w:r>
      <w:r>
        <w:t xml:space="preserve"> </w:t>
      </w:r>
      <w:r>
        <w:rPr>
          <w:rStyle w:val="VerbatimChar"/>
        </w:rPr>
        <w:t xml:space="preserve">u</w:t>
      </w:r>
      <w:r>
        <w:t xml:space="preserve">. These indices introduce neither independent Platonic Forms nor additional substances.</w:t>
      </w:r>
      <w:r>
        <w:t xml:space="preserve"> </w:t>
      </w:r>
      <w:r>
        <w:rPr>
          <w:rStyle w:val="VerbatimChar"/>
        </w:rPr>
        <w:t xml:space="preserve">Exercise</w:t>
      </w:r>
      <w:r>
        <w:t xml:space="preserve"> </w:t>
      </w:r>
      <w:r>
        <w:t xml:space="preserve">denotes the actual exercise of a power. The proposal interprets intentional action as a real relation grounded in the agent; whether that interpretation can preserve the stronger simplicity claims is disputed.</w:t>
      </w:r>
    </w:p>
    <w:p>
      <w:pPr>
        <w:pStyle w:val="Compact"/>
        <w:numPr>
          <w:ilvl w:val="0"/>
          <w:numId w:val="1004"/>
        </w:numPr>
      </w:pPr>
      <w:r>
        <w:rPr>
          <w:rStyle w:val="VerbatimChar"/>
        </w:rPr>
        <w:t xml:space="preserve">Exercise(g,u,p)</w:t>
      </w:r>
      <w:r>
        <w:t xml:space="preserve">: an actual source activity directed to plan p. Intentional control and rational apprehension are additional relations, not concealed in this predicate.</w:t>
      </w:r>
    </w:p>
    <w:p>
      <w:pPr>
        <w:pStyle w:val="Compact"/>
        <w:numPr>
          <w:ilvl w:val="0"/>
          <w:numId w:val="1004"/>
        </w:numPr>
      </w:pPr>
      <w:r>
        <w:rPr>
          <w:rStyle w:val="VerbatimChar"/>
        </w:rPr>
        <w:t xml:space="preserve">Control(g,u)</w:t>
      </w:r>
      <w:r>
        <w:t xml:space="preserve">: the agent positively controls this actual action. Mere productive causation does not define this relation.</w:t>
      </w:r>
    </w:p>
    <w:p>
      <w:pPr>
        <w:pStyle w:val="Compact"/>
        <w:numPr>
          <w:ilvl w:val="0"/>
          <w:numId w:val="1004"/>
        </w:numPr>
      </w:pPr>
      <w:r>
        <w:rPr>
          <w:rStyle w:val="VerbatimChar"/>
        </w:rPr>
        <w:t xml:space="preserve">Rep(g,p)</w:t>
      </w:r>
      <w:r>
        <w:t xml:space="preserve"> </w:t>
      </w:r>
      <w:r>
        <w:t xml:space="preserve">and</w:t>
      </w:r>
      <w:r>
        <w:t xml:space="preserve"> </w:t>
      </w:r>
      <w:r>
        <w:rPr>
          <w:rStyle w:val="VerbatimChar"/>
        </w:rPr>
        <w:t xml:space="preserve">Supports(r,p)</w:t>
      </w:r>
      <w:r>
        <w:t xml:space="preserve">: the source apprehends a possibility, and reason r supports it. Neither entails unique selection.</w:t>
      </w:r>
    </w:p>
    <w:p>
      <w:pPr>
        <w:pStyle w:val="Compact"/>
        <w:numPr>
          <w:ilvl w:val="0"/>
          <w:numId w:val="1004"/>
        </w:numPr>
      </w:pPr>
      <w:r>
        <w:rPr>
          <w:rStyle w:val="VerbatimChar"/>
        </w:rPr>
        <w:t xml:space="preserve">Term(u,x)</w:t>
      </w:r>
      <w:r>
        <w:t xml:space="preserve">: x is the actual effect of the action.</w:t>
      </w:r>
    </w:p>
    <w:p>
      <w:pPr>
        <w:pStyle w:val="Compact"/>
        <w:numPr>
          <w:ilvl w:val="0"/>
          <w:numId w:val="1004"/>
        </w:numPr>
      </w:pPr>
      <w:r>
        <w:rPr>
          <w:rStyle w:val="VerbatimChar"/>
        </w:rPr>
        <w:t xml:space="preserve">Access(g,u,p)</w:t>
      </w:r>
      <w:r>
        <w:t xml:space="preserve">: awareness of one’s own actual choice, rather than merely awareness of one’s capacity.</w:t>
      </w:r>
    </w:p>
    <w:p>
      <w:pPr>
        <w:pStyle w:val="Compact"/>
        <w:numPr>
          <w:ilvl w:val="0"/>
          <w:numId w:val="1004"/>
        </w:numPr>
      </w:pPr>
      <w:r>
        <w:rPr>
          <w:rStyle w:val="VerbatimChar"/>
        </w:rPr>
        <w:t xml:space="preserve">CausalAccess(g,u,x)</w:t>
      </w:r>
      <w:r>
        <w:t xml:space="preserve">: accurate access to the action’s actual effect. Accuracy is not automatically epistemic warrant.</w:t>
      </w:r>
    </w:p>
    <w:p>
      <w:pPr>
        <w:pStyle w:val="Compact"/>
        <w:numPr>
          <w:ilvl w:val="0"/>
          <w:numId w:val="1004"/>
        </w:numPr>
      </w:pPr>
      <w:r>
        <w:rPr>
          <w:rStyle w:val="VerbatimChar"/>
        </w:rPr>
        <w:t xml:space="preserve">Know(g,x,warrant)</w:t>
      </w:r>
      <w:r>
        <w:t xml:space="preserve">: an epistemic relation interpreted separately from causation, representation, or truthmaking. Its warrant supplied by the agent’s own activity is an added condition, not a value generated by the evaluator.</w:t>
      </w:r>
    </w:p>
    <w:p>
      <w:pPr>
        <w:pStyle w:val="FirstParagraph"/>
      </w:pPr>
      <w:r>
        <w:t xml:space="preserve">An action concerns a possible expression without requiring that expression to exist already. The proposed grounding order is the agent’s power and control → actual intentional action → actual created effect. The effect does not supply the source’s actuality or determine its choice. This is explanatory order, not a temporal deliberation in God.</w:t>
      </w:r>
    </w:p>
    <w:bookmarkEnd w:id="139"/>
    <w:bookmarkStart w:id="140" w:name="X0a024befb2e882cb0d7ac04c98104f717955e69"/>
    <w:p>
      <w:pPr>
        <w:pStyle w:val="Heading3"/>
      </w:pPr>
      <w:r>
        <w:t xml:space="preserve">Bridge families and what is actually added</w:t>
      </w:r>
    </w:p>
    <w:p>
      <w:pPr>
        <w:pStyle w:val="FirstParagraph"/>
      </w:pPr>
      <w:r>
        <w:t xml:space="preserve">U, KD, F and X in the interface retrieve earlier commitments; F abbreviates the FS/FC actuality-mode profile. New dimensions are:</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Label</w:t>
            </w:r>
          </w:p>
        </w:tc>
        <w:tc>
          <w:tcPr>
            <w:tcW w:type="dxa" w:w="3312"/>
            <w:shd w:fill="EAE5DA"/>
          </w:tcPr>
          <w:p>
            <w:pPr>
              <w:pStyle w:val="BodyText"/>
              <w:keepNext w:val="0"/>
              <w:spacing w:after="80" w:line="252" w:lineRule="auto"/>
              <w:jc w:val="left"/>
            </w:pPr>
            <w:r>
              <w:rPr>
                <w:rFonts w:ascii="Calibri" w:hAnsi="Calibri"/>
                <w:b/>
                <w:sz w:val="17"/>
              </w:rPr>
              <w:t xml:space="preserve">Claim</w:t>
            </w:r>
          </w:p>
        </w:tc>
        <w:tc>
          <w:tcPr>
            <w:tcW w:type="dxa" w:w="3312"/>
            <w:shd w:fill="EAE5DA"/>
          </w:tcPr>
          <w:p>
            <w:pPr>
              <w:pStyle w:val="BodyText"/>
              <w:keepNext w:val="0"/>
              <w:spacing w:after="80" w:line="252" w:lineRule="auto"/>
              <w:jc w:val="left"/>
            </w:pPr>
            <w:r>
              <w:rPr>
                <w:rFonts w:ascii="Calibri" w:hAnsi="Calibri"/>
                <w:b/>
                <w:sz w:val="17"/>
              </w:rPr>
              <w:t xml:space="preserve">Independent burden</w:t>
            </w:r>
          </w:p>
        </w:tc>
      </w:tr>
      <w:tr>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A, B, and no creation are admitted alternatives.</w:t>
            </w:r>
          </w:p>
        </w:tc>
        <w:tc>
          <w:tcPr>
            <w:tcW w:type="dxa" w:w="3312"/>
          </w:tcPr>
          <w:p>
            <w:pPr>
              <w:pStyle w:val="BodyText"/>
              <w:keepNext w:val="0"/>
              <w:spacing w:after="80" w:line="252" w:lineRule="auto"/>
              <w:jc w:val="left"/>
            </w:pPr>
            <w:r>
              <w:rPr>
                <w:rFonts w:ascii="Calibri" w:hAnsi="Calibri"/>
                <w:sz w:val="17"/>
              </w:rPr>
              <w:t xml:space="preserve">Non-exhaustion and X do not supply these possibilities. Accessibility is stipulated in the sparse interpretation.</w:t>
            </w:r>
          </w:p>
        </w:tc>
      </w:tr>
      <w:tr>
        <w:tc>
          <w:tcPr>
            <w:tcW w:type="dxa" w:w="3312"/>
          </w:tcPr>
          <w:p>
            <w:pPr>
              <w:pStyle w:val="BodyText"/>
              <w:keepNext w:val="0"/>
              <w:spacing w:after="80" w:line="252" w:lineRule="auto"/>
              <w:jc w:val="left"/>
            </w:pPr>
            <w:r>
              <w:rPr>
                <w:rFonts w:ascii="Calibri" w:hAnsi="Calibri"/>
                <w:sz w:val="17"/>
              </w:rPr>
              <w:t xml:space="preserve">I</w:t>
            </w:r>
          </w:p>
        </w:tc>
        <w:tc>
          <w:tcPr>
            <w:tcW w:type="dxa" w:w="3312"/>
          </w:tcPr>
          <w:p>
            <w:pPr>
              <w:pStyle w:val="BodyText"/>
              <w:keepNext w:val="0"/>
              <w:spacing w:after="80" w:line="252" w:lineRule="auto"/>
              <w:jc w:val="left"/>
            </w:pPr>
            <w:r>
              <w:rPr>
                <w:rFonts w:ascii="Calibri" w:hAnsi="Calibri"/>
                <w:sz w:val="17"/>
              </w:rPr>
              <w:t xml:space="preserve">Possibilities and reasons are intelligibly apprehended.</w:t>
            </w:r>
          </w:p>
        </w:tc>
        <w:tc>
          <w:tcPr>
            <w:tcW w:type="dxa" w:w="3312"/>
          </w:tcPr>
          <w:p>
            <w:pPr>
              <w:pStyle w:val="BodyText"/>
              <w:keepNext w:val="0"/>
              <w:spacing w:after="80" w:line="252" w:lineRule="auto"/>
              <w:jc w:val="left"/>
            </w:pPr>
            <w:r>
              <w:rPr>
                <w:rFonts w:ascii="Calibri" w:hAnsi="Calibri"/>
                <w:sz w:val="17"/>
              </w:rPr>
              <w:t xml:space="preserve">Unlimited actuality does not establish unlimited or even operative intellect by notation.</w:t>
            </w:r>
          </w:p>
        </w:tc>
      </w:tr>
      <w:tr>
        <w:tc>
          <w:tcPr>
            <w:tcW w:type="dxa" w:w="3312"/>
          </w:tcPr>
          <w:p>
            <w:pPr>
              <w:pStyle w:val="BodyText"/>
              <w:keepNext w:val="0"/>
              <w:spacing w:after="80" w:line="252" w:lineRule="auto"/>
              <w:jc w:val="left"/>
            </w:pPr>
            <w:r>
              <w:rPr>
                <w:rFonts w:ascii="Calibri" w:hAnsi="Calibri"/>
                <w:sz w:val="17"/>
              </w:rPr>
              <w:t xml:space="preserve">A</w:t>
            </w:r>
          </w:p>
        </w:tc>
        <w:tc>
          <w:tcPr>
            <w:tcW w:type="dxa" w:w="3312"/>
          </w:tcPr>
          <w:p>
            <w:pPr>
              <w:pStyle w:val="BodyText"/>
              <w:keepNext w:val="0"/>
              <w:spacing w:after="80" w:line="252" w:lineRule="auto"/>
              <w:jc w:val="left"/>
            </w:pPr>
            <w:r>
              <w:rPr>
                <w:rFonts w:ascii="Calibri" w:hAnsi="Calibri"/>
                <w:sz w:val="17"/>
              </w:rPr>
              <w:t xml:space="preserve">The agent controls its actual action.</w:t>
            </w:r>
          </w:p>
        </w:tc>
        <w:tc>
          <w:tcPr>
            <w:tcW w:type="dxa" w:w="3312"/>
          </w:tcPr>
          <w:p>
            <w:pPr>
              <w:pStyle w:val="BodyText"/>
              <w:keepNext w:val="0"/>
              <w:spacing w:after="80" w:line="252" w:lineRule="auto"/>
              <w:jc w:val="left"/>
            </w:pPr>
            <w:r>
              <w:rPr>
                <w:rFonts w:ascii="Calibri" w:hAnsi="Calibri"/>
                <w:sz w:val="17"/>
              </w:rPr>
              <w:t xml:space="preserve">This is an agency primitive, not bare indeterminism or causation renamed</w:t>
            </w:r>
            <w:r>
              <w:rPr>
                <w:rFonts w:ascii="Calibri" w:hAnsi="Calibri"/>
                <w:sz w:val="17"/>
              </w:rPr>
              <w:t xml:space="preserve"> </w:t>
            </w:r>
            <w:r>
              <w:rPr>
                <w:rFonts w:ascii="Calibri" w:hAnsi="Calibri"/>
                <w:sz w:val="17"/>
              </w:rPr>
              <w:t xml:space="preserve">“</w:t>
            </w:r>
            <w:r>
              <w:rPr>
                <w:rFonts w:ascii="Calibri" w:hAnsi="Calibri"/>
                <w:sz w:val="17"/>
              </w:rPr>
              <w:t xml:space="preserve">choice.</w:t>
            </w:r>
            <w:r>
              <w:rPr>
                <w:rFonts w:ascii="Calibri" w:hAnsi="Calibri"/>
                <w:sz w:val="17"/>
              </w:rPr>
              <w:t xml:space="preserve">”</w:t>
            </w:r>
          </w:p>
        </w:tc>
      </w:tr>
      <w:tr>
        <w:tc>
          <w:tcPr>
            <w:tcW w:type="dxa" w:w="3312"/>
          </w:tcPr>
          <w:p>
            <w:pPr>
              <w:pStyle w:val="BodyText"/>
              <w:keepNext w:val="0"/>
              <w:spacing w:after="80" w:line="252" w:lineRule="auto"/>
              <w:jc w:val="left"/>
            </w:pPr>
            <w:r>
              <w:rPr>
                <w:rFonts w:ascii="Calibri" w:hAnsi="Calibri"/>
                <w:sz w:val="17"/>
              </w:rPr>
              <w:t xml:space="preserve">T</w:t>
            </w:r>
          </w:p>
        </w:tc>
        <w:tc>
          <w:tcPr>
            <w:tcW w:type="dxa" w:w="3312"/>
          </w:tcPr>
          <w:p>
            <w:pPr>
              <w:pStyle w:val="BodyText"/>
              <w:keepNext w:val="0"/>
              <w:spacing w:after="80" w:line="252" w:lineRule="auto"/>
              <w:jc w:val="left"/>
            </w:pPr>
            <w:r>
              <w:rPr>
                <w:rFonts w:ascii="Calibri" w:hAnsi="Calibri"/>
                <w:sz w:val="17"/>
              </w:rPr>
              <w:t xml:space="preserve">The intended plan is realized as the actual effect.</w:t>
            </w:r>
          </w:p>
        </w:tc>
        <w:tc>
          <w:tcPr>
            <w:tcW w:type="dxa" w:w="3312"/>
          </w:tcPr>
          <w:p>
            <w:pPr>
              <w:pStyle w:val="BodyText"/>
              <w:keepNext w:val="0"/>
              <w:spacing w:after="80" w:line="252" w:lineRule="auto"/>
              <w:jc w:val="left"/>
            </w:pPr>
            <w:r>
              <w:rPr>
                <w:rFonts w:ascii="Calibri" w:hAnsi="Calibri"/>
                <w:sz w:val="17"/>
              </w:rPr>
              <w:t xml:space="preserve">Intellectual possibility alone does not produce realization. Transparent, effective exercise needs warrant.</w:t>
            </w:r>
          </w:p>
        </w:tc>
      </w:tr>
      <w:tr>
        <w:tc>
          <w:tcPr>
            <w:tcW w:type="dxa" w:w="3312"/>
          </w:tcPr>
          <w:p>
            <w:pPr>
              <w:pStyle w:val="BodyText"/>
              <w:keepNext w:val="0"/>
              <w:spacing w:after="80" w:line="252" w:lineRule="auto"/>
              <w:jc w:val="left"/>
            </w:pPr>
            <w:r>
              <w:rPr>
                <w:rFonts w:ascii="Calibri" w:hAnsi="Calibri"/>
                <w:sz w:val="17"/>
              </w:rPr>
              <w:t xml:space="preserve">R</w:t>
            </w:r>
          </w:p>
        </w:tc>
        <w:tc>
          <w:tcPr>
            <w:tcW w:type="dxa" w:w="3312"/>
          </w:tcPr>
          <w:p>
            <w:pPr>
              <w:pStyle w:val="BodyText"/>
              <w:keepNext w:val="0"/>
              <w:spacing w:after="80" w:line="252" w:lineRule="auto"/>
              <w:jc w:val="left"/>
            </w:pPr>
            <w:r>
              <w:rPr>
                <w:rFonts w:ascii="Calibri" w:hAnsi="Calibri"/>
                <w:sz w:val="17"/>
              </w:rPr>
              <w:t xml:space="preserve">Awareness discloses one’s actual choice.</w:t>
            </w:r>
          </w:p>
        </w:tc>
        <w:tc>
          <w:tcPr>
            <w:tcW w:type="dxa" w:w="3312"/>
          </w:tcPr>
          <w:p>
            <w:pPr>
              <w:pStyle w:val="BodyText"/>
              <w:keepNext w:val="0"/>
              <w:spacing w:after="80" w:line="252" w:lineRule="auto"/>
              <w:jc w:val="left"/>
            </w:pPr>
            <w:r>
              <w:rPr>
                <w:rFonts w:ascii="Calibri" w:hAnsi="Calibri"/>
                <w:sz w:val="17"/>
              </w:rPr>
              <w:t xml:space="preserve">Knowing possibilities or power does not disclose which exercise obtains.</w:t>
            </w:r>
          </w:p>
        </w:tc>
      </w:tr>
      <w:tr>
        <w:tc>
          <w:tcPr>
            <w:tcW w:type="dxa" w:w="3312"/>
          </w:tcPr>
          <w:p>
            <w:pPr>
              <w:pStyle w:val="BodyText"/>
              <w:keepNext w:val="0"/>
              <w:spacing w:after="80" w:line="252" w:lineRule="auto"/>
              <w:jc w:val="left"/>
            </w:pPr>
            <w:r>
              <w:rPr>
                <w:rFonts w:ascii="Calibri" w:hAnsi="Calibri"/>
                <w:sz w:val="17"/>
              </w:rPr>
              <w:t xml:space="preserve">CT</w:t>
            </w:r>
          </w:p>
        </w:tc>
        <w:tc>
          <w:tcPr>
            <w:tcW w:type="dxa" w:w="3312"/>
          </w:tcPr>
          <w:p>
            <w:pPr>
              <w:pStyle w:val="BodyText"/>
              <w:keepNext w:val="0"/>
              <w:spacing w:after="80" w:line="252" w:lineRule="auto"/>
              <w:jc w:val="left"/>
            </w:pPr>
            <w:r>
              <w:rPr>
                <w:rFonts w:ascii="Calibri" w:hAnsi="Calibri"/>
                <w:sz w:val="17"/>
              </w:rPr>
              <w:t xml:space="preserve">The actual action adequately discloses its effect.</w:t>
            </w:r>
          </w:p>
        </w:tc>
        <w:tc>
          <w:tcPr>
            <w:tcW w:type="dxa" w:w="3312"/>
          </w:tcPr>
          <w:p>
            <w:pPr>
              <w:pStyle w:val="BodyText"/>
              <w:keepNext w:val="0"/>
              <w:spacing w:after="80" w:line="252" w:lineRule="auto"/>
              <w:jc w:val="left"/>
            </w:pPr>
            <w:r>
              <w:rPr>
                <w:rFonts w:ascii="Calibri" w:hAnsi="Calibri"/>
                <w:sz w:val="17"/>
              </w:rPr>
              <w:t xml:space="preserve">Awareness of a choice is not automatically knowledge of every actual result.</w:t>
            </w:r>
          </w:p>
        </w:tc>
      </w:tr>
      <w:tr>
        <w:tc>
          <w:tcPr>
            <w:tcW w:type="dxa" w:w="3312"/>
          </w:tcPr>
          <w:p>
            <w:pPr>
              <w:pStyle w:val="BodyText"/>
              <w:keepNext w:val="0"/>
              <w:spacing w:after="80" w:line="252" w:lineRule="auto"/>
              <w:jc w:val="left"/>
            </w:pPr>
            <w:r>
              <w:rPr>
                <w:rFonts w:ascii="Calibri" w:hAnsi="Calibri"/>
                <w:sz w:val="17"/>
              </w:rPr>
              <w:t xml:space="preserve">EP</w:t>
            </w:r>
          </w:p>
        </w:tc>
        <w:tc>
          <w:tcPr>
            <w:tcW w:type="dxa" w:w="3312"/>
          </w:tcPr>
          <w:p>
            <w:pPr>
              <w:pStyle w:val="BodyText"/>
              <w:keepNext w:val="0"/>
              <w:spacing w:after="80" w:line="252" w:lineRule="auto"/>
              <w:jc w:val="left"/>
            </w:pPr>
            <w:r>
              <w:rPr>
                <w:rFonts w:ascii="Calibri" w:hAnsi="Calibri"/>
                <w:sz w:val="17"/>
              </w:rPr>
              <w:t xml:space="preserve">Operative access has adequate epistemic warrant and yields knowledge.</w:t>
            </w:r>
          </w:p>
        </w:tc>
        <w:tc>
          <w:tcPr>
            <w:tcW w:type="dxa" w:w="3312"/>
          </w:tcPr>
          <w:p>
            <w:pPr>
              <w:pStyle w:val="BodyText"/>
              <w:keepNext w:val="0"/>
              <w:spacing w:after="80" w:line="252" w:lineRule="auto"/>
              <w:jc w:val="left"/>
            </w:pPr>
            <w:r>
              <w:rPr>
                <w:rFonts w:ascii="Calibri" w:hAnsi="Calibri"/>
                <w:sz w:val="17"/>
              </w:rPr>
              <w:t xml:space="preserve">Accurate access records or covariance are insufficient. EP is not derived merely by labeling an agent perfectly self-knowing.</w:t>
            </w:r>
          </w:p>
        </w:tc>
      </w:tr>
    </w:tbl>
    <w:p>
      <w:pPr>
        <w:pStyle w:val="BodyText"/>
      </w:pPr>
      <w:r>
        <w:t xml:space="preserve">The inference is therefore conditional:</w:t>
      </w:r>
    </w:p>
    <w:p>
      <w:pPr>
        <w:pStyle w:val="SourceCode"/>
      </w:pPr>
      <w:r>
        <w:rPr>
          <w:rStyle w:val="VerbatimChar"/>
        </w:rPr>
        <w:t xml:space="preserve">U + KD                         ⇒ no proper source constituents</w:t>
      </w:r>
      <w:r>
        <w:br/>
      </w:r>
      <w:r>
        <w:rPr>
          <w:rStyle w:val="VerbatimChar"/>
        </w:rPr>
        <w:t xml:space="preserve">M                              ⇒ the specified creation alternatives</w:t>
      </w:r>
      <w:r>
        <w:br/>
      </w:r>
      <w:r>
        <w:rPr>
          <w:rStyle w:val="VerbatimChar"/>
        </w:rPr>
        <w:t xml:space="preserve">M + I + A                      ⇒ the proposed intelligent control account</w:t>
      </w:r>
      <w:r>
        <w:br/>
      </w:r>
      <w:r>
        <w:rPr>
          <w:rStyle w:val="VerbatimChar"/>
        </w:rPr>
        <w:t xml:space="preserve">M + I + A + T                  ⇒ the agent intentionally produces the effect</w:t>
      </w:r>
      <w:r>
        <w:br/>
      </w:r>
      <w:r>
        <w:rPr>
          <w:rStyle w:val="VerbatimChar"/>
        </w:rPr>
        <w:t xml:space="preserve">U + KD + M + I + A + T + X      ⇒ candidate action account with the same intrinsic source actuality</w:t>
      </w:r>
      <w:r>
        <w:br/>
      </w:r>
      <w:r>
        <w:rPr>
          <w:rStyle w:val="VerbatimChar"/>
        </w:rPr>
        <w:t xml:space="preserve">R + CT + EP                    ⇒ warranted knowledge of the actual effect through one’s own activity</w:t>
      </w:r>
    </w:p>
    <w:p>
      <w:pPr>
        <w:pStyle w:val="FirstParagraph"/>
      </w:pPr>
      <w:r>
        <w:t xml:space="preserve">I/A/T qualify the last case as knowing one’s intentional productive exercise. They are not necessary premises for every conceivable knowledge of an effect. The interface displays the joint proposed path, not all possible proofs.</w:t>
      </w:r>
    </w:p>
    <w:p>
      <w:pPr>
        <w:pStyle w:val="BodyText"/>
      </w:pPr>
      <w:r>
        <w:t xml:space="preserve">If</w:t>
      </w:r>
      <w:r>
        <w:t xml:space="preserve"> </w:t>
      </w:r>
      <w:r>
        <w:t xml:space="preserve">“</w:t>
      </w:r>
      <w:r>
        <w:t xml:space="preserve">adequate reflexive access</w:t>
      </w:r>
      <w:r>
        <w:t xml:space="preserve">”</w:t>
      </w:r>
      <w:r>
        <w:t xml:space="preserve"> </w:t>
      </w:r>
      <w:r>
        <w:t xml:space="preserve">is defined so strongly that it already includes full warranted knowledge of the actual effect, CT and EP may be absorbed into it. That would be a different encoding of the information, not a new reduction of knowledge to participation. Here R is deliberately narrower, separating disclosure of actual selection from causal transparency and epistemic warrant. Eleven interface commitments are not asserted to be the absolutely smallest metaphysical basis.</w:t>
      </w:r>
    </w:p>
    <w:bookmarkEnd w:id="140"/>
    <w:bookmarkStart w:id="141" w:name="X53d4f8d3b66d67fe5e90e7727be1a4cce2d4db0"/>
    <w:p>
      <w:pPr>
        <w:pStyle w:val="Heading3"/>
      </w:pPr>
      <w:r>
        <w:t xml:space="preserve">Independent warrant versus conditional sufficiency</w:t>
      </w:r>
    </w:p>
    <w:p>
      <w:pPr>
        <w:pStyle w:val="FirstParagraph"/>
      </w:pPr>
      <w:r>
        <w:t xml:space="preserve">KD’s explanatory warrant is that genuinely constituting principles contribute to what the whole actually is. Their contribution is not mere correlation. Brute-unity theories reject that grounding claim; a physical example alone cannot prove it for every metaphysical structure. The relation K is interpreted before D so that the bridge is substantive rather than tautological.</w:t>
      </w:r>
    </w:p>
    <w:p>
      <w:pPr>
        <w:pStyle w:val="BodyText"/>
      </w:pPr>
      <w:r>
        <w:t xml:space="preserve">For contingency, the strongest retrieved argument is rational-volitional: necessary orientation to a complete good does not necessitate every optional finite expression through which it could be shared. Aquinas ST I q.19 a.3 distinguishes an end from means unnecessary to its attainment and explicitly invokes self-determination in ad5. This depends on a theory of voluntary power. A necessitating rule of diffusion would defeat the proposed inference and must be challenged, not ignored.</w:t>
      </w:r>
    </w:p>
    <w:p>
      <w:pPr>
        <w:pStyle w:val="BodyText"/>
      </w:pPr>
      <w:r>
        <w:t xml:space="preserve">For agency, intentional control is distinguished from merely being the productive source of an outcome. Anselm’s rational rectitude and Scotus’s alternatives at the act of choice illuminate different parts. Neither warrants the whole new account. Actual voluntary exercise is admitted as an irreducible agency resource. A reason can justify A without uniquely necessitating A, provided another admissible gift B is also genuinely available. This proposal does not require a deterministic contrastive explanation as the price of intelligibility.</w:t>
      </w:r>
    </w:p>
    <w:p>
      <w:pPr>
        <w:pStyle w:val="BodyText"/>
      </w:pPr>
      <w:r>
        <w:t xml:space="preserve">For knowledge, the operative rationale is that cognition can guide an intentional exercise rather than be acquired by observation of its finished product. Awareness of one’s actual action and adequate disclosure of its efficacy can therefore support knowledge through that action. An artisan analogy supplies a conceptual resource, not proof that an uncreated source adequately knows its own action. The competence, scope, transparency, and warrant needed for the inference remain added conditions.</w:t>
      </w:r>
    </w:p>
    <w:bookmarkEnd w:id="141"/>
    <w:bookmarkStart w:id="144" w:name="Xe322d74c52680d99ffdecb64d4287c969591f57"/>
    <w:p>
      <w:pPr>
        <w:pStyle w:val="Heading3"/>
      </w:pPr>
      <w:r>
        <w:t xml:space="preserve">The sparse interpretations actually checked</w:t>
      </w:r>
    </w:p>
    <w:p>
      <w:pPr>
        <w:pStyle w:val="FirstParagraph"/>
      </w:pPr>
      <w:r>
        <w:rPr>
          <w:rStyle w:val="VerbatimChar"/>
        </w:rPr>
        <w:t xml:space="preserve">scripts/beyond-model.mjs</w:t>
      </w:r>
      <w:r>
        <w:t xml:space="preserve"> </w:t>
      </w:r>
      <w:r>
        <w:t xml:space="preserve">supplies three mutually accessible situations: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Situation</w:t>
            </w:r>
          </w:p>
        </w:tc>
        <w:tc>
          <w:tcPr>
            <w:tcW w:type="dxa" w:w="2749"/>
            <w:shd w:fill="EAE5DA"/>
          </w:tcPr>
          <w:p>
            <w:pPr>
              <w:pStyle w:val="BodyText"/>
              <w:keepNext w:val="0"/>
              <w:spacing w:after="80" w:line="252" w:lineRule="auto"/>
              <w:jc w:val="left"/>
            </w:pPr>
            <w:r>
              <w:rPr>
                <w:rFonts w:ascii="Calibri" w:hAnsi="Calibri"/>
                <w:b/>
                <w:sz w:val="17"/>
              </w:rPr>
              <w:t xml:space="preserve">Actual entities and sourcing</w:t>
            </w:r>
          </w:p>
        </w:tc>
        <w:tc>
          <w:tcPr>
            <w:tcW w:type="dxa" w:w="2749"/>
            <w:shd w:fill="EAE5DA"/>
          </w:tcPr>
          <w:p>
            <w:pPr>
              <w:pStyle w:val="BodyText"/>
              <w:keepNext w:val="0"/>
              <w:spacing w:after="80" w:line="252" w:lineRule="auto"/>
              <w:jc w:val="left"/>
            </w:pPr>
            <w:r>
              <w:rPr>
                <w:rFonts w:ascii="Calibri" w:hAnsi="Calibri"/>
                <w:b/>
                <w:sz w:val="17"/>
              </w:rPr>
              <w:t xml:space="preserve">Source intrinsic realization</w:t>
            </w:r>
          </w:p>
        </w:tc>
        <w:tc>
          <w:tcPr>
            <w:tcW w:type="dxa" w:w="2749"/>
            <w:shd w:fill="EAE5DA"/>
          </w:tcPr>
          <w:p>
            <w:pPr>
              <w:pStyle w:val="BodyText"/>
              <w:keepNext w:val="0"/>
              <w:spacing w:after="80" w:line="252" w:lineRule="auto"/>
              <w:jc w:val="left"/>
            </w:pPr>
            <w:r>
              <w:rPr>
                <w:rFonts w:ascii="Calibri" w:hAnsi="Calibri"/>
                <w:b/>
                <w:sz w:val="17"/>
              </w:rPr>
              <w:t xml:space="preserve">Action / effect</w:t>
            </w:r>
          </w:p>
        </w:tc>
      </w:tr>
      <w:tr>
        <w:tc>
          <w:tcPr>
            <w:tcW w:type="dxa" w:w="1689"/>
          </w:tcPr>
          <w:p>
            <w:pPr>
              <w:pStyle w:val="BodyText"/>
              <w:keepNext w:val="0"/>
              <w:spacing w:after="80" w:line="252" w:lineRule="auto"/>
              <w:jc w:val="left"/>
            </w:pPr>
            <w:r>
              <w:rPr>
                <w:rFonts w:ascii="Calibri" w:hAnsi="Calibri"/>
                <w:sz w:val="17"/>
              </w:rPr>
              <w:t xml:space="preserve">A</w:t>
            </w:r>
          </w:p>
        </w:tc>
        <w:tc>
          <w:tcPr>
            <w:tcW w:type="dxa" w:w="2749"/>
          </w:tcPr>
          <w:p>
            <w:pPr>
              <w:pStyle w:val="BodyText"/>
              <w:keepNext w:val="0"/>
              <w:spacing w:after="80" w:line="252" w:lineRule="auto"/>
              <w:jc w:val="left"/>
            </w:pPr>
            <w:r>
              <w:rPr>
                <w:rFonts w:ascii="Calibri" w:hAnsi="Calibri"/>
                <w:sz w:val="17"/>
              </w:rPr>
              <w:t xml:space="preserve">g and finite a; C(g,a,e), D(a,g,e)</w:t>
            </w:r>
          </w:p>
        </w:tc>
        <w:tc>
          <w:tcPr>
            <w:tcW w:type="dxa" w:w="2749"/>
          </w:tcPr>
          <w:p>
            <w:pPr>
              <w:pStyle w:val="BodyText"/>
              <w:keepNext w:val="0"/>
              <w:spacing w:after="80" w:line="252" w:lineRule="auto"/>
              <w:jc w:val="left"/>
            </w:pPr>
            <w:r>
              <w:rPr>
                <w:rFonts w:ascii="Calibri" w:hAnsi="Calibri"/>
                <w:sz w:val="17"/>
              </w:rPr>
              <w:t xml:space="preserve">H(g,e,∞), no K-parts</w:t>
            </w:r>
          </w:p>
        </w:tc>
        <w:tc>
          <w:tcPr>
            <w:tcW w:type="dxa" w:w="2749"/>
          </w:tcPr>
          <w:p>
            <w:pPr>
              <w:pStyle w:val="BodyText"/>
              <w:keepNext w:val="0"/>
              <w:spacing w:after="80" w:line="252" w:lineRule="auto"/>
              <w:jc w:val="left"/>
            </w:pPr>
            <w:r>
              <w:rPr>
                <w:rFonts w:ascii="Calibri" w:hAnsi="Calibri"/>
                <w:sz w:val="17"/>
              </w:rPr>
              <w:t xml:space="preserve">plan A, effective a</w:t>
            </w:r>
          </w:p>
        </w:tc>
      </w:tr>
      <w:tr>
        <w:tc>
          <w:tcPr>
            <w:tcW w:type="dxa" w:w="1689"/>
          </w:tcPr>
          <w:p>
            <w:pPr>
              <w:pStyle w:val="BodyText"/>
              <w:keepNext w:val="0"/>
              <w:spacing w:after="80" w:line="252" w:lineRule="auto"/>
              <w:jc w:val="left"/>
            </w:pPr>
            <w:r>
              <w:rPr>
                <w:rFonts w:ascii="Calibri" w:hAnsi="Calibri"/>
                <w:sz w:val="17"/>
              </w:rPr>
              <w:t xml:space="preserve">B</w:t>
            </w:r>
          </w:p>
        </w:tc>
        <w:tc>
          <w:tcPr>
            <w:tcW w:type="dxa" w:w="2749"/>
          </w:tcPr>
          <w:p>
            <w:pPr>
              <w:pStyle w:val="BodyText"/>
              <w:keepNext w:val="0"/>
              <w:spacing w:after="80" w:line="252" w:lineRule="auto"/>
              <w:jc w:val="left"/>
            </w:pPr>
            <w:r>
              <w:rPr>
                <w:rFonts w:ascii="Calibri" w:hAnsi="Calibri"/>
                <w:sz w:val="17"/>
              </w:rPr>
              <w:t xml:space="preserve">g and finite b; C(g,b,e), D(b,g,e)</w:t>
            </w:r>
          </w:p>
        </w:tc>
        <w:tc>
          <w:tcPr>
            <w:tcW w:type="dxa" w:w="2749"/>
          </w:tcPr>
          <w:p>
            <w:pPr>
              <w:pStyle w:val="BodyText"/>
              <w:keepNext w:val="0"/>
              <w:spacing w:after="80" w:line="252" w:lineRule="auto"/>
              <w:jc w:val="left"/>
            </w:pPr>
            <w:r>
              <w:rPr>
                <w:rFonts w:ascii="Calibri" w:hAnsi="Calibri"/>
                <w:sz w:val="17"/>
              </w:rPr>
              <w:t xml:space="preserve">the same</w:t>
            </w:r>
          </w:p>
        </w:tc>
        <w:tc>
          <w:tcPr>
            <w:tcW w:type="dxa" w:w="2749"/>
          </w:tcPr>
          <w:p>
            <w:pPr>
              <w:pStyle w:val="BodyText"/>
              <w:keepNext w:val="0"/>
              <w:spacing w:after="80" w:line="252" w:lineRule="auto"/>
              <w:jc w:val="left"/>
            </w:pPr>
            <w:r>
              <w:rPr>
                <w:rFonts w:ascii="Calibri" w:hAnsi="Calibri"/>
                <w:sz w:val="17"/>
              </w:rPr>
              <w:t xml:space="preserve">plan B, effective b</w:t>
            </w:r>
          </w:p>
        </w:tc>
      </w:tr>
      <w:tr>
        <w:tc>
          <w:tcPr>
            <w:tcW w:type="dxa" w:w="1689"/>
          </w:tcPr>
          <w:p>
            <w:pPr>
              <w:pStyle w:val="BodyText"/>
              <w:keepNext w:val="0"/>
              <w:spacing w:after="80" w:line="252" w:lineRule="auto"/>
              <w:jc w:val="left"/>
            </w:pPr>
            <w:r>
              <w:rPr>
                <w:rFonts w:ascii="Calibri" w:hAnsi="Calibri"/>
                <w:sz w:val="17"/>
              </w:rPr>
              <w:t xml:space="preserve">N</w:t>
            </w:r>
          </w:p>
        </w:tc>
        <w:tc>
          <w:tcPr>
            <w:tcW w:type="dxa" w:w="2749"/>
          </w:tcPr>
          <w:p>
            <w:pPr>
              <w:pStyle w:val="BodyText"/>
              <w:keepNext w:val="0"/>
              <w:spacing w:after="80" w:line="252" w:lineRule="auto"/>
              <w:jc w:val="left"/>
            </w:pPr>
            <w:r>
              <w:rPr>
                <w:rFonts w:ascii="Calibri" w:hAnsi="Calibri"/>
                <w:sz w:val="17"/>
              </w:rPr>
              <w:t xml:space="preserve">g alone, no created entity</w:t>
            </w:r>
          </w:p>
        </w:tc>
        <w:tc>
          <w:tcPr>
            <w:tcW w:type="dxa" w:w="2749"/>
          </w:tcPr>
          <w:p>
            <w:pPr>
              <w:pStyle w:val="BodyText"/>
              <w:keepNext w:val="0"/>
              <w:spacing w:after="80" w:line="252" w:lineRule="auto"/>
              <w:jc w:val="left"/>
            </w:pPr>
            <w:r>
              <w:rPr>
                <w:rFonts w:ascii="Calibri" w:hAnsi="Calibri"/>
                <w:sz w:val="17"/>
              </w:rPr>
              <w:t xml:space="preserve">the same</w:t>
            </w:r>
          </w:p>
        </w:tc>
        <w:tc>
          <w:tcPr>
            <w:tcW w:type="dxa" w:w="2749"/>
          </w:tcPr>
          <w:p>
            <w:pPr>
              <w:pStyle w:val="BodyText"/>
              <w:keepNext w:val="0"/>
              <w:spacing w:after="80" w:line="252" w:lineRule="auto"/>
              <w:jc w:val="left"/>
            </w:pPr>
            <w:r>
              <w:rPr>
                <w:rFonts w:ascii="Calibri" w:hAnsi="Calibri"/>
                <w:sz w:val="17"/>
              </w:rPr>
              <w:t xml:space="preserve">forbearance, no created effect</w:t>
            </w:r>
          </w:p>
        </w:tc>
      </w:tr>
    </w:tbl>
    <w:p>
      <w:pPr>
        <w:pStyle w:val="BodyText"/>
      </w:pPr>
      <w:r>
        <w:t xml:space="preserve">Each situation separately records an actual action, understood plans, supporting reasons, control, awareness of the choice, access to the effect, and knowledge. They are not Boolean</w:t>
      </w:r>
      <w:r>
        <w:t xml:space="preserve"> </w:t>
      </w:r>
      <w:r>
        <w:t xml:space="preserve">“</w:t>
      </w:r>
      <w:r>
        <w:t xml:space="preserve">axiom passed</w:t>
      </w:r>
      <w:r>
        <w:t xml:space="preserve">”</w:t>
      </w:r>
      <w:r>
        <w:t xml:space="preserve"> </w:t>
      </w:r>
      <w:r>
        <w:t xml:space="preserve">flags. The evaluator tests relation contents and compares source H/K profiles. The fact that these records are assigned does not demonstrate that intentional control or knowledge is philosophically instantiated.</w:t>
      </w:r>
    </w:p>
    <w:p>
      <w:pPr>
        <w:pStyle w:val="BodyText"/>
      </w:pPr>
      <w:r>
        <w:t xml:space="preserve">The positive interpretation satisfies the original nine clauses plus the added semantic obligations. This demonstrates that the sparse encoding contains no elementary contradiction of its own. It does not prove genuine metaphysical possibility, absolute divine simplicity, or the disputed ontology of contingent facts about actions.</w:t>
      </w:r>
    </w:p>
    <w:bookmarkStart w:id="142" w:name="deletion-witnesses"/>
    <w:p>
      <w:pPr>
        <w:pStyle w:val="Heading4"/>
      </w:pPr>
      <w:r>
        <w:t xml:space="preserve">Deletion witnesses</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Removed</w:t>
            </w:r>
          </w:p>
        </w:tc>
        <w:tc>
          <w:tcPr>
            <w:tcW w:type="dxa" w:w="3312"/>
            <w:shd w:fill="EAE5DA"/>
          </w:tcPr>
          <w:p>
            <w:pPr>
              <w:pStyle w:val="BodyText"/>
              <w:keepNext w:val="0"/>
              <w:spacing w:after="80" w:line="252" w:lineRule="auto"/>
              <w:jc w:val="left"/>
            </w:pPr>
            <w:r>
              <w:rPr>
                <w:rFonts w:ascii="Calibri" w:hAnsi="Calibri"/>
                <w:b/>
                <w:sz w:val="17"/>
              </w:rPr>
              <w:t xml:space="preserve">Concrete change</w:t>
            </w:r>
          </w:p>
        </w:tc>
        <w:tc>
          <w:tcPr>
            <w:tcW w:type="dxa" w:w="3312"/>
            <w:shd w:fill="EAE5DA"/>
          </w:tcPr>
          <w:p>
            <w:pPr>
              <w:pStyle w:val="BodyText"/>
              <w:keepNext w:val="0"/>
              <w:spacing w:after="80" w:line="252" w:lineRule="auto"/>
              <w:jc w:val="left"/>
            </w:pPr>
            <w:r>
              <w:rPr>
                <w:rFonts w:ascii="Calibri" w:hAnsi="Calibri"/>
                <w:b/>
                <w:sz w:val="17"/>
              </w:rPr>
              <w:t xml:space="preserve">Retention and limit</w:t>
            </w:r>
          </w:p>
        </w:tc>
      </w:tr>
      <w:tr>
        <w:tc>
          <w:tcPr>
            <w:tcW w:type="dxa" w:w="3312"/>
          </w:tcPr>
          <w:p>
            <w:pPr>
              <w:pStyle w:val="BodyText"/>
              <w:keepNext w:val="0"/>
              <w:spacing w:after="80" w:line="252" w:lineRule="auto"/>
              <w:jc w:val="left"/>
            </w:pPr>
            <w:r>
              <w:rPr>
                <w:rFonts w:ascii="Calibri" w:hAnsi="Calibri"/>
                <w:sz w:val="17"/>
              </w:rPr>
              <w:t xml:space="preserve">U</w:t>
            </w:r>
          </w:p>
        </w:tc>
        <w:tc>
          <w:tcPr>
            <w:tcW w:type="dxa" w:w="3312"/>
          </w:tcPr>
          <w:p>
            <w:pPr>
              <w:pStyle w:val="BodyText"/>
              <w:keepNext w:val="0"/>
              <w:spacing w:after="80" w:line="252" w:lineRule="auto"/>
              <w:jc w:val="left"/>
            </w:pPr>
            <w:r>
              <w:rPr>
                <w:rFonts w:ascii="Calibri" w:hAnsi="Calibri"/>
                <w:sz w:val="17"/>
              </w:rPr>
              <w:t xml:space="preserve">Add D(g,a,e) in A.</w:t>
            </w:r>
          </w:p>
        </w:tc>
        <w:tc>
          <w:tcPr>
            <w:tcW w:type="dxa" w:w="3312"/>
          </w:tcPr>
          <w:p>
            <w:pPr>
              <w:pStyle w:val="BodyText"/>
              <w:keepNext w:val="0"/>
              <w:spacing w:after="80" w:line="252" w:lineRule="auto"/>
              <w:jc w:val="left"/>
            </w:pPr>
            <w:r>
              <w:rPr>
                <w:rFonts w:ascii="Calibri" w:hAnsi="Calibri"/>
                <w:sz w:val="17"/>
              </w:rPr>
              <w:t xml:space="preserve">Other selected obligations remain; grounding direction is reversed. No source part is required for this witness.</w:t>
            </w:r>
          </w:p>
        </w:tc>
      </w:tr>
      <w:tr>
        <w:tc>
          <w:tcPr>
            <w:tcW w:type="dxa" w:w="3312"/>
          </w:tcPr>
          <w:p>
            <w:pPr>
              <w:pStyle w:val="BodyText"/>
              <w:keepNext w:val="0"/>
              <w:spacing w:after="80" w:line="252" w:lineRule="auto"/>
              <w:jc w:val="left"/>
            </w:pPr>
            <w:r>
              <w:rPr>
                <w:rFonts w:ascii="Calibri" w:hAnsi="Calibri"/>
                <w:sz w:val="17"/>
              </w:rPr>
              <w:t xml:space="preserve">KD</w:t>
            </w:r>
          </w:p>
        </w:tc>
        <w:tc>
          <w:tcPr>
            <w:tcW w:type="dxa" w:w="3312"/>
          </w:tcPr>
          <w:p>
            <w:pPr>
              <w:pStyle w:val="BodyText"/>
              <w:keepNext w:val="0"/>
              <w:spacing w:after="80" w:line="252" w:lineRule="auto"/>
              <w:jc w:val="left"/>
            </w:pPr>
            <w:r>
              <w:rPr>
                <w:rFonts w:ascii="Calibri" w:hAnsi="Calibri"/>
                <w:sz w:val="17"/>
              </w:rPr>
              <w:t xml:space="preserve">In A, add another finite sourced b and K(b,a), but not D(a,b,e).</w:t>
            </w:r>
          </w:p>
        </w:tc>
        <w:tc>
          <w:tcPr>
            <w:tcW w:type="dxa" w:w="3312"/>
          </w:tcPr>
          <w:p>
            <w:pPr>
              <w:pStyle w:val="BodyText"/>
              <w:keepNext w:val="0"/>
              <w:spacing w:after="80" w:line="252" w:lineRule="auto"/>
              <w:jc w:val="left"/>
            </w:pPr>
            <w:r>
              <w:rPr>
                <w:rFonts w:ascii="Calibri" w:hAnsi="Calibri"/>
                <w:sz w:val="17"/>
              </w:rPr>
              <w:t xml:space="preserve">This violates global constitution-grounding while the source remains noncomposite. It does not prove source composition is possible under M + X preserving the full constituent profile.</w:t>
            </w:r>
          </w:p>
        </w:tc>
      </w:tr>
      <w:tr>
        <w:tc>
          <w:tcPr>
            <w:tcW w:type="dxa" w:w="3312"/>
          </w:tcPr>
          <w:p>
            <w:pPr>
              <w:pStyle w:val="BodyText"/>
              <w:keepNext w:val="0"/>
              <w:spacing w:after="80" w:line="252" w:lineRule="auto"/>
              <w:jc w:val="left"/>
            </w:pPr>
            <w:r>
              <w:rPr>
                <w:rFonts w:ascii="Calibri" w:hAnsi="Calibri"/>
                <w:sz w:val="17"/>
              </w:rPr>
              <w:t xml:space="preserve">F</w:t>
            </w:r>
          </w:p>
        </w:tc>
        <w:tc>
          <w:tcPr>
            <w:tcW w:type="dxa" w:w="3312"/>
          </w:tcPr>
          <w:p>
            <w:pPr>
              <w:pStyle w:val="BodyText"/>
              <w:keepNext w:val="0"/>
              <w:spacing w:after="80" w:line="252" w:lineRule="auto"/>
              <w:jc w:val="left"/>
            </w:pPr>
            <w:r>
              <w:rPr>
                <w:rFonts w:ascii="Calibri" w:hAnsi="Calibri"/>
                <w:sz w:val="17"/>
              </w:rPr>
              <w:t xml:space="preserve">Give g finite mode 1 in every situation.</w:t>
            </w:r>
          </w:p>
        </w:tc>
        <w:tc>
          <w:tcPr>
            <w:tcW w:type="dxa" w:w="3312"/>
          </w:tcPr>
          <w:p>
            <w:pPr>
              <w:pStyle w:val="BodyText"/>
              <w:keepNext w:val="0"/>
              <w:spacing w:after="80" w:line="252" w:lineRule="auto"/>
              <w:jc w:val="left"/>
            </w:pPr>
            <w:r>
              <w:rPr>
                <w:rFonts w:ascii="Calibri" w:hAnsi="Calibri"/>
                <w:sz w:val="17"/>
              </w:rPr>
              <w:t xml:space="preserve">X is preserved; inherited unboundedness is lost.</w:t>
            </w:r>
          </w:p>
        </w:tc>
      </w:tr>
      <w:tr>
        <w:tc>
          <w:tcPr>
            <w:tcW w:type="dxa" w:w="3312"/>
          </w:tcPr>
          <w:p>
            <w:pPr>
              <w:pStyle w:val="BodyText"/>
              <w:keepNext w:val="0"/>
              <w:spacing w:after="80" w:line="252" w:lineRule="auto"/>
              <w:jc w:val="left"/>
            </w:pPr>
            <w:r>
              <w:rPr>
                <w:rFonts w:ascii="Calibri" w:hAnsi="Calibri"/>
                <w:sz w:val="17"/>
              </w:rPr>
              <w:t xml:space="preserve">M</w:t>
            </w:r>
          </w:p>
        </w:tc>
        <w:tc>
          <w:tcPr>
            <w:tcW w:type="dxa" w:w="3312"/>
          </w:tcPr>
          <w:p>
            <w:pPr>
              <w:pStyle w:val="BodyText"/>
              <w:keepNext w:val="0"/>
              <w:spacing w:after="80" w:line="252" w:lineRule="auto"/>
              <w:jc w:val="left"/>
            </w:pPr>
            <w:r>
              <w:rPr>
                <w:rFonts w:ascii="Calibri" w:hAnsi="Calibri"/>
                <w:sz w:val="17"/>
              </w:rPr>
              <w:t xml:space="preserve">Retain only A.</w:t>
            </w:r>
          </w:p>
        </w:tc>
        <w:tc>
          <w:tcPr>
            <w:tcW w:type="dxa" w:w="3312"/>
          </w:tcPr>
          <w:p>
            <w:pPr>
              <w:pStyle w:val="BodyText"/>
              <w:keepNext w:val="0"/>
              <w:spacing w:after="80" w:line="252" w:lineRule="auto"/>
              <w:jc w:val="left"/>
            </w:pPr>
            <w:r>
              <w:rPr>
                <w:rFonts w:ascii="Calibri" w:hAnsi="Calibri"/>
                <w:sz w:val="17"/>
              </w:rPr>
              <w:t xml:space="preserve">Every original clause survives; no creation alternative is present.</w:t>
            </w:r>
          </w:p>
        </w:tc>
      </w:tr>
      <w:tr>
        <w:tc>
          <w:tcPr>
            <w:tcW w:type="dxa" w:w="3312"/>
          </w:tcPr>
          <w:p>
            <w:pPr>
              <w:pStyle w:val="BodyText"/>
              <w:keepNext w:val="0"/>
              <w:spacing w:after="80" w:line="252" w:lineRule="auto"/>
              <w:jc w:val="left"/>
            </w:pPr>
            <w:r>
              <w:rPr>
                <w:rFonts w:ascii="Calibri" w:hAnsi="Calibri"/>
                <w:sz w:val="17"/>
              </w:rPr>
              <w:t xml:space="preserve">I</w:t>
            </w:r>
          </w:p>
        </w:tc>
        <w:tc>
          <w:tcPr>
            <w:tcW w:type="dxa" w:w="3312"/>
          </w:tcPr>
          <w:p>
            <w:pPr>
              <w:pStyle w:val="BodyText"/>
              <w:keepNext w:val="0"/>
              <w:spacing w:after="80" w:line="252" w:lineRule="auto"/>
              <w:jc w:val="left"/>
            </w:pPr>
            <w:r>
              <w:rPr>
                <w:rFonts w:ascii="Calibri" w:hAnsi="Calibri"/>
                <w:sz w:val="17"/>
              </w:rPr>
              <w:t xml:space="preserve">Retain representation of the actual plan but omit its grasp of the other alternatives.</w:t>
            </w:r>
          </w:p>
        </w:tc>
        <w:tc>
          <w:tcPr>
            <w:tcW w:type="dxa" w:w="3312"/>
          </w:tcPr>
          <w:p>
            <w:pPr>
              <w:pStyle w:val="BodyText"/>
              <w:keepNext w:val="0"/>
              <w:spacing w:after="80" w:line="252" w:lineRule="auto"/>
              <w:jc w:val="left"/>
            </w:pPr>
            <w:r>
              <w:rPr>
                <w:rFonts w:ascii="Calibri" w:hAnsi="Calibri"/>
                <w:sz w:val="17"/>
              </w:rPr>
              <w:t xml:space="preserve">Control and productive sourcing remain; full apprehension of the relevant alternatives is absent.</w:t>
            </w:r>
          </w:p>
        </w:tc>
      </w:tr>
      <w:tr>
        <w:tc>
          <w:tcPr>
            <w:tcW w:type="dxa" w:w="3312"/>
          </w:tcPr>
          <w:p>
            <w:pPr>
              <w:pStyle w:val="BodyText"/>
              <w:keepNext w:val="0"/>
              <w:spacing w:after="80" w:line="252" w:lineRule="auto"/>
              <w:jc w:val="left"/>
            </w:pPr>
            <w:r>
              <w:rPr>
                <w:rFonts w:ascii="Calibri" w:hAnsi="Calibri"/>
                <w:sz w:val="17"/>
              </w:rPr>
              <w:t xml:space="preserve">A</w:t>
            </w:r>
          </w:p>
        </w:tc>
        <w:tc>
          <w:tcPr>
            <w:tcW w:type="dxa" w:w="3312"/>
          </w:tcPr>
          <w:p>
            <w:pPr>
              <w:pStyle w:val="BodyText"/>
              <w:keepNext w:val="0"/>
              <w:spacing w:after="80" w:line="252" w:lineRule="auto"/>
              <w:jc w:val="left"/>
            </w:pPr>
            <w:r>
              <w:rPr>
                <w:rFonts w:ascii="Calibri" w:hAnsi="Calibri"/>
                <w:sz w:val="17"/>
              </w:rPr>
              <w:t xml:space="preserve">Remove the intentional-control relation while retaining sourced outputs.</w:t>
            </w:r>
          </w:p>
        </w:tc>
        <w:tc>
          <w:tcPr>
            <w:tcW w:type="dxa" w:w="3312"/>
          </w:tcPr>
          <w:p>
            <w:pPr>
              <w:pStyle w:val="BodyText"/>
              <w:keepNext w:val="0"/>
              <w:spacing w:after="80" w:line="252" w:lineRule="auto"/>
              <w:jc w:val="left"/>
            </w:pPr>
            <w:r>
              <w:rPr>
                <w:rFonts w:ascii="Calibri" w:hAnsi="Calibri"/>
                <w:sz w:val="17"/>
              </w:rPr>
              <w:t xml:space="preserve">A source-level spontaneous process is represented without introducing a causally independent actual mechanism.</w:t>
            </w:r>
          </w:p>
        </w:tc>
      </w:tr>
      <w:tr>
        <w:tc>
          <w:tcPr>
            <w:tcW w:type="dxa" w:w="3312"/>
          </w:tcPr>
          <w:p>
            <w:pPr>
              <w:pStyle w:val="BodyText"/>
              <w:keepNext w:val="0"/>
              <w:spacing w:after="80" w:line="252" w:lineRule="auto"/>
              <w:jc w:val="left"/>
            </w:pPr>
            <w:r>
              <w:rPr>
                <w:rFonts w:ascii="Calibri" w:hAnsi="Calibri"/>
                <w:sz w:val="17"/>
              </w:rPr>
              <w:t xml:space="preserve">T</w:t>
            </w:r>
          </w:p>
        </w:tc>
        <w:tc>
          <w:tcPr>
            <w:tcW w:type="dxa" w:w="3312"/>
          </w:tcPr>
          <w:p>
            <w:pPr>
              <w:pStyle w:val="BodyText"/>
              <w:keepNext w:val="0"/>
              <w:spacing w:after="80" w:line="252" w:lineRule="auto"/>
              <w:jc w:val="left"/>
            </w:pPr>
            <w:r>
              <w:rPr>
                <w:rFonts w:ascii="Calibri" w:hAnsi="Calibri"/>
                <w:sz w:val="17"/>
              </w:rPr>
              <w:t xml:space="preserve">In A, the selected plan is B but effective output is a.</w:t>
            </w:r>
          </w:p>
        </w:tc>
        <w:tc>
          <w:tcPr>
            <w:tcW w:type="dxa" w:w="3312"/>
          </w:tcPr>
          <w:p>
            <w:pPr>
              <w:pStyle w:val="BodyText"/>
              <w:keepNext w:val="0"/>
              <w:spacing w:after="80" w:line="252" w:lineRule="auto"/>
              <w:jc w:val="left"/>
            </w:pPr>
            <w:r>
              <w:rPr>
                <w:rFonts w:ascii="Calibri" w:hAnsi="Calibri"/>
                <w:sz w:val="17"/>
              </w:rPr>
              <w:t xml:space="preserve">Original ontology and other sparse obligations survive; intended/effective alignment fails. Unlimited actuality alone does not imply infallible execution in this signature.</w:t>
            </w:r>
          </w:p>
        </w:tc>
      </w:tr>
      <w:tr>
        <w:tc>
          <w:tcPr>
            <w:tcW w:type="dxa" w:w="3312"/>
          </w:tcPr>
          <w:p>
            <w:pPr>
              <w:pStyle w:val="BodyText"/>
              <w:keepNext w:val="0"/>
              <w:spacing w:after="80" w:line="252" w:lineRule="auto"/>
              <w:jc w:val="left"/>
            </w:pPr>
            <w:r>
              <w:rPr>
                <w:rFonts w:ascii="Calibri" w:hAnsi="Calibri"/>
                <w:sz w:val="17"/>
              </w:rPr>
              <w:t xml:space="preserve">R</w:t>
            </w:r>
          </w:p>
        </w:tc>
        <w:tc>
          <w:tcPr>
            <w:tcW w:type="dxa" w:w="3312"/>
          </w:tcPr>
          <w:p>
            <w:pPr>
              <w:pStyle w:val="BodyText"/>
              <w:keepNext w:val="0"/>
              <w:spacing w:after="80" w:line="252" w:lineRule="auto"/>
              <w:jc w:val="left"/>
            </w:pPr>
            <w:r>
              <w:rPr>
                <w:rFonts w:ascii="Calibri" w:hAnsi="Calibri"/>
                <w:sz w:val="17"/>
              </w:rPr>
              <w:t xml:space="preserve">Remove access to one’s actual choice.</w:t>
            </w:r>
          </w:p>
        </w:tc>
        <w:tc>
          <w:tcPr>
            <w:tcW w:type="dxa" w:w="3312"/>
          </w:tcPr>
          <w:p>
            <w:pPr>
              <w:pStyle w:val="BodyText"/>
              <w:keepNext w:val="0"/>
              <w:spacing w:after="80" w:line="252" w:lineRule="auto"/>
              <w:jc w:val="left"/>
            </w:pPr>
            <w:r>
              <w:rPr>
                <w:rFonts w:ascii="Calibri" w:hAnsi="Calibri"/>
                <w:sz w:val="17"/>
              </w:rPr>
              <w:t xml:space="preserve">Possibilities remain represented; no disclosure of the actual action is inferred.</w:t>
            </w:r>
          </w:p>
        </w:tc>
      </w:tr>
      <w:tr>
        <w:tc>
          <w:tcPr>
            <w:tcW w:type="dxa" w:w="3312"/>
          </w:tcPr>
          <w:p>
            <w:pPr>
              <w:pStyle w:val="BodyText"/>
              <w:keepNext w:val="0"/>
              <w:spacing w:after="80" w:line="252" w:lineRule="auto"/>
              <w:jc w:val="left"/>
            </w:pPr>
            <w:r>
              <w:rPr>
                <w:rFonts w:ascii="Calibri" w:hAnsi="Calibri"/>
                <w:sz w:val="17"/>
              </w:rPr>
              <w:t xml:space="preserve">CT</w:t>
            </w:r>
          </w:p>
        </w:tc>
        <w:tc>
          <w:tcPr>
            <w:tcW w:type="dxa" w:w="3312"/>
          </w:tcPr>
          <w:p>
            <w:pPr>
              <w:pStyle w:val="BodyText"/>
              <w:keepNext w:val="0"/>
              <w:spacing w:after="80" w:line="252" w:lineRule="auto"/>
              <w:jc w:val="left"/>
            </w:pPr>
            <w:r>
              <w:rPr>
                <w:rFonts w:ascii="Calibri" w:hAnsi="Calibri"/>
                <w:sz w:val="17"/>
              </w:rPr>
              <w:t xml:space="preserve">Remove causal-access relation.</w:t>
            </w:r>
          </w:p>
        </w:tc>
        <w:tc>
          <w:tcPr>
            <w:tcW w:type="dxa" w:w="3312"/>
          </w:tcPr>
          <w:p>
            <w:pPr>
              <w:pStyle w:val="BodyText"/>
              <w:keepNext w:val="0"/>
              <w:spacing w:after="80" w:line="252" w:lineRule="auto"/>
              <w:jc w:val="left"/>
            </w:pPr>
            <w:r>
              <w:rPr>
                <w:rFonts w:ascii="Calibri" w:hAnsi="Calibri"/>
                <w:sz w:val="17"/>
              </w:rPr>
              <w:t xml:space="preserve">Selection access remains but its actual effect is not disclosed by that route.</w:t>
            </w:r>
          </w:p>
        </w:tc>
      </w:tr>
      <w:tr>
        <w:tc>
          <w:tcPr>
            <w:tcW w:type="dxa" w:w="3312"/>
          </w:tcPr>
          <w:p>
            <w:pPr>
              <w:pStyle w:val="BodyText"/>
              <w:keepNext w:val="0"/>
              <w:spacing w:after="80" w:line="252" w:lineRule="auto"/>
              <w:jc w:val="left"/>
            </w:pPr>
            <w:r>
              <w:rPr>
                <w:rFonts w:ascii="Calibri" w:hAnsi="Calibri"/>
                <w:sz w:val="17"/>
              </w:rPr>
              <w:t xml:space="preserve">X</w:t>
            </w:r>
          </w:p>
        </w:tc>
        <w:tc>
          <w:tcPr>
            <w:tcW w:type="dxa" w:w="3312"/>
          </w:tcPr>
          <w:p>
            <w:pPr>
              <w:pStyle w:val="BodyText"/>
              <w:keepNext w:val="0"/>
              <w:spacing w:after="80" w:line="252" w:lineRule="auto"/>
              <w:jc w:val="left"/>
            </w:pPr>
            <w:r>
              <w:rPr>
                <w:rFonts w:ascii="Calibri" w:hAnsi="Calibri"/>
                <w:sz w:val="17"/>
              </w:rPr>
              <w:t xml:space="preserve">Add intrinsic H(g,intention-A,1), H(g,intention-B,1), etc., across respective situations.</w:t>
            </w:r>
          </w:p>
        </w:tc>
        <w:tc>
          <w:tcPr>
            <w:tcW w:type="dxa" w:w="3312"/>
          </w:tcPr>
          <w:p>
            <w:pPr>
              <w:pStyle w:val="BodyText"/>
              <w:keepNext w:val="0"/>
              <w:spacing w:after="80" w:line="252" w:lineRule="auto"/>
              <w:jc w:val="left"/>
            </w:pPr>
            <w:r>
              <w:rPr>
                <w:rFonts w:ascii="Calibri" w:hAnsi="Calibri"/>
                <w:sz w:val="17"/>
              </w:rPr>
              <w:t xml:space="preserve">All original local clauses including U/KD survive; proper constituency remains empty. Intrinsic variation is not itself composition or reception.</w:t>
            </w:r>
          </w:p>
        </w:tc>
      </w:tr>
      <w:tr>
        <w:tc>
          <w:tcPr>
            <w:tcW w:type="dxa" w:w="3312"/>
          </w:tcPr>
          <w:p>
            <w:pPr>
              <w:pStyle w:val="BodyText"/>
              <w:keepNext w:val="0"/>
              <w:spacing w:after="80" w:line="252" w:lineRule="auto"/>
              <w:jc w:val="left"/>
            </w:pPr>
            <w:r>
              <w:rPr>
                <w:rFonts w:ascii="Calibri" w:hAnsi="Calibri"/>
                <w:sz w:val="17"/>
              </w:rPr>
              <w:t xml:space="preserve">EP</w:t>
            </w:r>
          </w:p>
        </w:tc>
        <w:tc>
          <w:tcPr>
            <w:tcW w:type="dxa" w:w="3312"/>
          </w:tcPr>
          <w:p>
            <w:pPr>
              <w:pStyle w:val="BodyText"/>
              <w:keepNext w:val="0"/>
              <w:spacing w:after="80" w:line="252" w:lineRule="auto"/>
              <w:jc w:val="left"/>
            </w:pPr>
            <w:r>
              <w:rPr>
                <w:rFonts w:ascii="Calibri" w:hAnsi="Calibri"/>
                <w:sz w:val="17"/>
              </w:rPr>
              <w:t xml:space="preserve">Retain matching access records but omit the warranted knowledge relation in A.</w:t>
            </w:r>
          </w:p>
        </w:tc>
        <w:tc>
          <w:tcPr>
            <w:tcW w:type="dxa" w:w="3312"/>
          </w:tcPr>
          <w:p>
            <w:pPr>
              <w:pStyle w:val="BodyText"/>
              <w:keepNext w:val="0"/>
              <w:spacing w:after="80" w:line="252" w:lineRule="auto"/>
              <w:jc w:val="left"/>
            </w:pPr>
            <w:r>
              <w:rPr>
                <w:rFonts w:ascii="Calibri" w:hAnsi="Calibri"/>
                <w:sz w:val="17"/>
              </w:rPr>
              <w:t xml:space="preserve">The evaluator detects failure of the epistemic obligation rather than silently generating knowledge.</w:t>
            </w:r>
          </w:p>
        </w:tc>
      </w:tr>
    </w:tbl>
    <w:p>
      <w:pPr>
        <w:pStyle w:val="BodyText"/>
      </w:pPr>
      <w:r>
        <w:t xml:space="preserve">These interpretations check clause separation in a deliberately sparse semantics. The failures of I/A/R/CT are not proofs that a richly specified intelligent perfect agent could instantiate the same deficiencies. Such perfection claims would introduce additional constraints and may change redundancy. A model must be rechecked when stronger premises are added.</w:t>
      </w:r>
    </w:p>
    <w:bookmarkEnd w:id="142"/>
    <w:bookmarkStart w:id="143" w:name="a-discovered-alternative-derivation"/>
    <w:p>
      <w:pPr>
        <w:pStyle w:val="Heading4"/>
      </w:pPr>
      <w:r>
        <w:t xml:space="preserve">A discovered alternative derivation</w:t>
      </w:r>
    </w:p>
    <w:p>
      <w:pPr>
        <w:pStyle w:val="FirstParagraph"/>
      </w:pPr>
      <w:r>
        <w:t xml:space="preserve">Under the scoped assumption that every actual entity other than g is created, M’s no-creation situation contains no proper source constituent. If X preserves the full constituent profile across all admitted worlds, then source noncomposition follows in the other worlds as well. KD is therefore not the only route to that conclusion in the stronger combined model.</w:t>
      </w:r>
    </w:p>
    <w:p>
      <w:pPr>
        <w:pStyle w:val="BodyText"/>
      </w:pPr>
      <w:r>
        <w:t xml:space="preserve">This is why the extended KD witness uses a created composite rather than pretending that a composite source can satisfy M and this strong X. The first page’s single-situation KD deletion witness remains valid for its weaker retained theory. The new result is explanatory redundancy relative to stronger assumptions, not an independently warranted shortcut to divine simplicity: M and X themselves are additional commitments.</w:t>
      </w:r>
    </w:p>
    <w:bookmarkEnd w:id="143"/>
    <w:bookmarkEnd w:id="144"/>
    <w:bookmarkStart w:id="145" w:name="Xa4e1a52bf98dfd4c8a65e58aec8c9afd9d78c08"/>
    <w:p>
      <w:pPr>
        <w:pStyle w:val="Heading3"/>
      </w:pPr>
      <w:r>
        <w:t xml:space="preserve">Rival explanations and decisive objections</w:t>
      </w:r>
    </w:p>
    <w:p>
      <w:pPr>
        <w:pStyle w:val="Compact"/>
        <w:numPr>
          <w:ilvl w:val="0"/>
          <w:numId w:val="1005"/>
        </w:numPr>
      </w:pPr>
      <w:r>
        <w:rPr>
          <w:b/>
          <w:bCs/>
        </w:rPr>
        <w:t xml:space="preserve">Necessary emanation:</w:t>
      </w:r>
      <w:r>
        <w:t xml:space="preserve"> </w:t>
      </w:r>
      <w:r>
        <w:t xml:space="preserve">retains infinity, source noncomposition, noncompletion, and all sourcing. Only asserted alternatives block it. The witness does not identify Dionysius with this model.</w:t>
      </w:r>
    </w:p>
    <w:p>
      <w:pPr>
        <w:pStyle w:val="Compact"/>
        <w:numPr>
          <w:ilvl w:val="0"/>
          <w:numId w:val="1005"/>
        </w:numPr>
      </w:pPr>
      <w:r>
        <w:rPr>
          <w:b/>
          <w:bCs/>
        </w:rPr>
        <w:t xml:space="preserve">Impersonal indeterminism:</w:t>
      </w:r>
      <w:r>
        <w:t xml:space="preserve"> </w:t>
      </w:r>
      <w:r>
        <w:t xml:space="preserve">preserves productive grounding without positing an independently actual selector. Intentional control is genuinely additional. A rationally permitted random outcome is not thereby the agent’s direct intentional choice.</w:t>
      </w:r>
    </w:p>
    <w:p>
      <w:pPr>
        <w:pStyle w:val="Compact"/>
        <w:numPr>
          <w:ilvl w:val="0"/>
          <w:numId w:val="1005"/>
        </w:numPr>
      </w:pPr>
      <w:r>
        <w:rPr>
          <w:b/>
          <w:bCs/>
        </w:rPr>
        <w:t xml:space="preserve">Intrinsic intentional variation:</w:t>
      </w:r>
      <w:r>
        <w:t xml:space="preserve"> </w:t>
      </w:r>
      <w:r>
        <w:t xml:space="preserve">retains local noncomposition and underivation while rejecting X. This is a serious rival, not an automatic acquired-part theory. A stronger identity-of-act doctrine must explain why it is excluded.</w:t>
      </w:r>
    </w:p>
    <w:p>
      <w:pPr>
        <w:pStyle w:val="Compact"/>
        <w:numPr>
          <w:ilvl w:val="0"/>
          <w:numId w:val="1005"/>
        </w:numPr>
      </w:pPr>
      <w:r>
        <w:rPr>
          <w:b/>
          <w:bCs/>
        </w:rPr>
        <w:t xml:space="preserve">Merely external denomination:</w:t>
      </w:r>
      <w:r>
        <w:t xml:space="preserve"> </w:t>
      </w:r>
      <w:r>
        <w:t xml:space="preserve">can correctly state</w:t>
      </w:r>
      <w:r>
        <w:t xml:space="preserve"> </w:t>
      </w:r>
      <w:r>
        <w:t xml:space="preserve">“</w:t>
      </w:r>
      <w:r>
        <w:t xml:space="preserve">creator of A</w:t>
      </w:r>
      <w:r>
        <w:t xml:space="preserve">”</w:t>
      </w:r>
      <w:r>
        <w:t xml:space="preserve"> </w:t>
      </w:r>
      <w:r>
        <w:t xml:space="preserve">but may leave the difference between causing and intentionally settling A unexplained. Denomination is not dismissed as causally idle in every possible ontology.</w:t>
      </w:r>
    </w:p>
    <w:p>
      <w:pPr>
        <w:pStyle w:val="Compact"/>
        <w:numPr>
          <w:ilvl w:val="0"/>
          <w:numId w:val="1005"/>
        </w:numPr>
      </w:pPr>
      <w:r>
        <w:rPr>
          <w:b/>
          <w:bCs/>
        </w:rPr>
        <w:t xml:space="preserve">Action as a real relation:</w:t>
      </w:r>
      <w:r>
        <w:t xml:space="preserve"> </w:t>
      </w:r>
      <w:r>
        <w:t xml:space="preserve">proposes a controlled action directed to a particular effect without an acquired source constituent. Its central burden is explaining its real contingency without making it a third independent reality or concealing intrinsic determination.</w:t>
      </w:r>
    </w:p>
    <w:p>
      <w:pPr>
        <w:pStyle w:val="Compact"/>
        <w:numPr>
          <w:ilvl w:val="0"/>
          <w:numId w:val="1005"/>
        </w:numPr>
      </w:pPr>
      <w:r>
        <w:rPr>
          <w:b/>
          <w:bCs/>
        </w:rPr>
        <w:t xml:space="preserve">Other knowledge without receptive learning:</w:t>
      </w:r>
      <w:r>
        <w:t xml:space="preserve"> </w:t>
      </w:r>
      <w:r>
        <w:t xml:space="preserve">a direct cognitive relation can be assigned without R/CT while U remains true. Thus deleting the preferred productive route does not prove ignorance or receptive learning. Its independent warrant is still needed.</w:t>
      </w:r>
    </w:p>
    <w:p>
      <w:pPr>
        <w:pStyle w:val="FirstParagraph"/>
      </w:pPr>
      <w:r>
        <w:t xml:space="preserve">The strongest truthmaking objection is this: if g’s intrinsic actuality alone necessitates the complete fact of its willing A, then A may become necessary given effective divine action. The threat is modal collapse, the loss of genuine alternatives to creation; it does not follow automatically from noncomposition. If g alone does not necessitate that fact, what additional reality or primitive fact makes this particular exercise actual? The present model answers: an actual voluntary action, admitted as irreducible. That is a clear explanatory stopping point, not an elimination of the objection. Its compatibility with stronger identity-of-divine-act accounts remains contested.</w:t>
      </w:r>
    </w:p>
    <w:p>
      <w:pPr>
        <w:pStyle w:val="BodyText"/>
      </w:pPr>
      <w:r>
        <w:t xml:space="preserve">The strongest knowledge objection is parallel: if the particular intention lies entirely outside the source’s intrinsic cognitive actuality, why does knowing that actuality disclose this actual action rather than every possibility indifferently? R, CT, and EP make the needed access and warrant explicit. They are a proposed active-cognition response, not a consequence of X.</w:t>
      </w:r>
    </w:p>
    <w:bookmarkEnd w:id="145"/>
    <w:bookmarkStart w:id="146" w:name="where-this-reconstruction-stops"/>
    <w:p>
      <w:pPr>
        <w:pStyle w:val="Heading3"/>
      </w:pPr>
      <w:r>
        <w:t xml:space="preserve">Where this reconstruction stops</w:t>
      </w:r>
    </w:p>
    <w:p>
      <w:pPr>
        <w:pStyle w:val="FirstParagraph"/>
      </w:pPr>
      <w:r>
        <w:t xml:space="preserve">The definition chain is not circular: plans describe possibilities; action and control are separately represented; correspondence between plan and effect connects intentional action to creation; awareness and warrant connect actual action to knowledge. No definition of participation contains freedom or knowledge. Knowledge of possibilities can guide action without being inferred from the actual effect; knowledge of actual exercise is reflexive rather than a premise that creates itself.</w:t>
      </w:r>
    </w:p>
    <w:p>
      <w:pPr>
        <w:pStyle w:val="BodyText"/>
      </w:pPr>
      <w:r>
        <w:t xml:space="preserve">Nevertheless, agency and knowledge are not reduced to primitive actuality. The model ends at actual voluntary action and warranted awareness of that action. Calling the topic</w:t>
      </w:r>
      <w:r>
        <w:t xml:space="preserve"> </w:t>
      </w:r>
      <w:r>
        <w:t xml:space="preserve">“</w:t>
      </w:r>
      <w:r>
        <w:t xml:space="preserve">divine action,</w:t>
      </w:r>
      <w:r>
        <w:t xml:space="preserve">”</w:t>
      </w:r>
      <w:r>
        <w:t xml:space="preserve"> </w:t>
      </w:r>
      <w:r>
        <w:t xml:space="preserve">or describing knowledge as productive, supplies neither the actual choice nor the cognitive adequacy requiring defense.</w:t>
      </w:r>
    </w:p>
    <w:p>
      <w:pPr>
        <w:pStyle w:val="BodyText"/>
      </w:pPr>
      <w:r>
        <w:t xml:space="preserve">The result is an audited conditional architecture, with a meaningful rival retaining noncomposition while rejecting X. It does not establish full classical simplicity or omniscience, and it does not offer a historical attribution of the whole system.</w:t>
      </w:r>
    </w:p>
    <w:bookmarkEnd w:id="146"/>
    <w:bookmarkEnd w:id="147"/>
    <w:p>
      <w:pPr>
        <w:pStyle w:val="Heading1"/>
      </w:pPr>
      <w:r>
        <w:t xml:space="preserve">Appendix C — beyond-sources.md</w:t>
      </w:r>
    </w:p>
    <w:p>
      <w:pPr>
        <w:pStyle w:val="FirstParagraph"/>
      </w:pPr>
      <w:r>
        <w:t xml:space="preserve">Original research file: https:/​/​participation-​6o4.​pages.​dev/​research/​beyond-​sources.​md</w:t>
      </w:r>
    </w:p>
    <w:bookmarkStart w:id="157" w:name="Xf567504f92d13dc4235976a4c916a51b91a86e5"/>
    <w:p>
      <w:pPr>
        <w:pStyle w:val="Heading2"/>
      </w:pPr>
      <w:r>
        <w:t xml:space="preserve">Beyond Participation: source and historical dossier</w:t>
      </w:r>
    </w:p>
    <w:bookmarkStart w:id="148" w:name="consultation-method"/>
    <w:p>
      <w:pPr>
        <w:pStyle w:val="Heading3"/>
      </w:pPr>
      <w:r>
        <w:t xml:space="preserve">Consultation method</w:t>
      </w:r>
    </w:p>
    <w:p>
      <w:pPr>
        <w:pStyle w:val="FirstParagraph"/>
      </w:pPr>
      <w:r>
        <w:t xml:space="preserve">The named prospective report</w:t>
      </w:r>
      <w:r>
        <w:t xml:space="preserve"> </w:t>
      </w:r>
      <w:r>
        <w:rPr>
          <w:i/>
          <w:iCs/>
        </w:rPr>
        <w:t xml:space="preserve">The Minimal Bridges from Participation to Simplicity and Freedom</w:t>
      </w:r>
      <w:r>
        <w:t xml:space="preserve"> </w:t>
      </w:r>
      <w:r>
        <w:t xml:space="preserve">was not supplied. The new research starts with the actual Participation report and dossiers, fresh primary consultation of Aquinas and Augustine, and current publisher-hosted specialist entries. Older primary digital witnesses are explicitly identified as reused project evidence. Critical primary editions and named monographs not directly inspected remain leads.</w:t>
      </w:r>
    </w:p>
    <w:p>
      <w:pPr>
        <w:pStyle w:val="BodyText"/>
      </w:pPr>
      <w:r>
        <w:t xml:space="preserve">The website’s source ledger distinguishes the claim, what a source actually establishes, and the project’s constructive use. Historical continuity cannot make a new bridge true by attribution. Exact passages and source status must be retained when the argument is revised.</w:t>
      </w:r>
    </w:p>
    <w:bookmarkEnd w:id="148"/>
    <w:bookmarkStart w:id="149" w:name="aquinas-several-different-joints"/>
    <w:p>
      <w:pPr>
        <w:pStyle w:val="Heading3"/>
      </w:pPr>
      <w:r>
        <w:t xml:space="preserve">1. Aquinas: several different joints</w:t>
      </w:r>
    </w:p>
    <w:p>
      <w:pPr>
        <w:pStyle w:val="FirstParagraph"/>
      </w:pPr>
      <w:r>
        <w:t xml:space="preserve">Primary witness inspected:</w:t>
      </w:r>
      <w:r>
        <w:t xml:space="preserve"> </w:t>
      </w:r>
      <w:r>
        <w:rPr>
          <w:i/>
          <w:iCs/>
        </w:rPr>
        <w:t xml:space="preserve">Summa Theologiae</w:t>
      </w:r>
      <w:r>
        <w:t xml:space="preserve">, Prima Pars, English Dominican Fathers’ Complete American Edition, Project Gutenberg #17611,</w:t>
      </w:r>
      <w:r>
        <w:t xml:space="preserve"> </w:t>
      </w:r>
      <w:hyperlink r:id="rId87">
        <w:r>
          <w:rPr>
            <w:rStyle w:val="Hyperlink"/>
          </w:rPr>
          <w:t xml:space="preserve">mirror</w:t>
        </w:r>
      </w:hyperlink>
      <w:r>
        <w:t xml:space="preserve">. This is a readable historical translation, not a newly collated Latin critical edition.</w:t>
      </w:r>
    </w:p>
    <w:p>
      <w:pPr>
        <w:pStyle w:val="BodyText"/>
      </w:pPr>
      <w:r>
        <w:rPr>
          <w:b/>
          <w:bCs/>
        </w:rPr>
        <w:t xml:space="preserve">ST I q.3 a.7, answer:</w:t>
      </w:r>
      <w:r>
        <w:t xml:space="preserve"> </w:t>
      </w:r>
      <w:r>
        <w:t xml:space="preserve">Aquinas separately invokes earlier exclusions of different kinds of composition, constituent-dependence, a unifying cause, and act/potency. The constituent argument explicitly says that a composite is posterior to and dependent on its components. It supplies a historical resource for KD, while also showing that his whole simplicity doctrine uses more than that one argument. His general unification principle and act/potency argument cannot be silently treated as consequences of mere efficient uncausedness.</w:t>
      </w:r>
    </w:p>
    <w:p>
      <w:pPr>
        <w:pStyle w:val="BodyText"/>
      </w:pPr>
      <w:r>
        <w:rPr>
          <w:b/>
          <w:bCs/>
        </w:rPr>
        <w:t xml:space="preserve">ST I q.14 a.5, answer:</w:t>
      </w:r>
      <w:r>
        <w:t xml:space="preserve"> </w:t>
      </w:r>
      <w:r>
        <w:t xml:space="preserve">knowing oneself perfectly includes knowing one’s power; source power is intelligible in its cause. Aquinas concludes that God knows effects through himself. He relies on divine existence being understanding and on the perfection of that understanding. Those are stronger assumptions than the minimal source profile’s unlimited actuality in respect e.</w:t>
      </w:r>
    </w:p>
    <w:p>
      <w:pPr>
        <w:pStyle w:val="BodyText"/>
      </w:pPr>
      <w:r>
        <w:rPr>
          <w:b/>
          <w:bCs/>
        </w:rPr>
        <w:t xml:space="preserve">ST I q.14 a.8, answer and ad1/ad3:</w:t>
      </w:r>
      <w:r>
        <w:t xml:space="preserve"> </w:t>
      </w:r>
      <w:r>
        <w:t xml:space="preserve">intelligible form alone relates to alternatives; it produces a determinate effect through inclination of will. Knowledge as cause therefore is joined to willing. The relation of consequence—if things are future, they are known—is distinguished from futurity causing divine cognition. This directly supports keeping choice and the direction of knowledge distinct. It does not independently prove that an invariant intrinsic cognitive profile discloses a contingent intentional determination.</w:t>
      </w:r>
    </w:p>
    <w:p>
      <w:pPr>
        <w:pStyle w:val="BodyText"/>
      </w:pPr>
      <w:r>
        <w:rPr>
          <w:b/>
          <w:bCs/>
        </w:rPr>
        <w:t xml:space="preserve">ST I q.19 a.2, answer and replies:</w:t>
      </w:r>
      <w:r>
        <w:t xml:space="preserve"> </w:t>
      </w:r>
      <w:r>
        <w:t xml:space="preserve">divine willing communicates goodness by likeness without multiplying the simple will into a sum of object-specific parts. The end is divine goodness; other things are willed as ordered to it. This is the rational gift model’s principal historical resource, not an inference that diffusion necessitates a cosmos.</w:t>
      </w:r>
    </w:p>
    <w:p>
      <w:pPr>
        <w:pStyle w:val="BodyText"/>
      </w:pPr>
      <w:r>
        <w:rPr>
          <w:b/>
          <w:bCs/>
        </w:rPr>
        <w:t xml:space="preserve">ST I q.19 a.3, answer and ad5:</w:t>
      </w:r>
      <w:r>
        <w:t xml:space="preserve"> </w:t>
      </w:r>
      <w:r>
        <w:t xml:space="preserve">necessary willing of divine goodness does not necessitate means unnecessary to its attainment; creatures add no perfection. Aquinas explicitly locates determination in divine will itself. The reasoning uses a voluntary-power account: noncompletion alone, severed from that account, leaves the necessary-emanator countermodel open. Necessity by supposition—given that God wills something, it follows—must not be mistaken for absolute necessity that he will it.</w:t>
      </w:r>
    </w:p>
    <w:p>
      <w:pPr>
        <w:pStyle w:val="BodyText"/>
      </w:pPr>
      <w:r>
        <w:t xml:space="preserve">Constructive use: retrieve the distinction between intrinsic fullness, rational end, voluntary exercise, and object-relative determination. Do not claim that Aquinas thereby endorsed the page’s independently proposed ontology of a irreducible fact of intentional action. The contemporary modal-collapse and knowledge objections still require examination.</w:t>
      </w:r>
    </w:p>
    <w:bookmarkEnd w:id="149"/>
    <w:bookmarkStart w:id="151" w:name="X2a0be43388797459c34f4a90a63633a4e57cdf3"/>
    <w:p>
      <w:pPr>
        <w:pStyle w:val="Heading3"/>
      </w:pPr>
      <w:r>
        <w:t xml:space="preserve">2. Anselm: freedom’s excellence and intrinsic constitution</w:t>
      </w:r>
    </w:p>
    <w:p>
      <w:pPr>
        <w:pStyle w:val="FirstParagraph"/>
      </w:pPr>
      <w:r>
        <w:t xml:space="preserve">The earlier project directly consulted selected</w:t>
      </w:r>
      <w:r>
        <w:t xml:space="preserve"> </w:t>
      </w:r>
      <w:r>
        <w:rPr>
          <w:i/>
          <w:iCs/>
        </w:rPr>
        <w:t xml:space="preserve">Monologion</w:t>
      </w:r>
      <w:r>
        <w:t xml:space="preserve"> </w:t>
      </w:r>
      <w:r>
        <w:t xml:space="preserve">chapters in imperfect Latin OCR, especially 17 for dependence through composition, 25 for changing relative predicates without intrinsic alteration, and 31/34 for exemplar asymmetry. See</w:t>
      </w:r>
      <w:r>
        <w:t xml:space="preserve"> </w:t>
      </w:r>
      <w:hyperlink r:id="rId150">
        <w:r>
          <w:rPr>
            <w:rStyle w:val="Hyperlink"/>
          </w:rPr>
          <w:t xml:space="preserve">the Latin dossier</w:t>
        </w:r>
      </w:hyperlink>
      <w:r>
        <w:t xml:space="preserve"> </w:t>
      </w:r>
      <w:r>
        <w:t xml:space="preserve">for the digital witness and limits.</w:t>
      </w:r>
    </w:p>
    <w:p>
      <w:pPr>
        <w:pStyle w:val="BodyText"/>
      </w:pPr>
      <w:r>
        <w:t xml:space="preserve">Fresh specialist consultation: Thomas Williams,</w:t>
      </w:r>
      <w:r>
        <w:t xml:space="preserve"> </w:t>
      </w:r>
      <w:hyperlink r:id="rId93">
        <w:r>
          <w:rPr>
            <w:rStyle w:val="Hyperlink"/>
          </w:rPr>
          <w:t xml:space="preserve">“</w:t>
        </w:r>
        <w:r>
          <w:rPr>
            <w:rStyle w:val="Hyperlink"/>
          </w:rPr>
          <w:t xml:space="preserve">Anselm of Canterbury,</w:t>
        </w:r>
        <w:r>
          <w:rPr>
            <w:rStyle w:val="Hyperlink"/>
          </w:rPr>
          <w:t xml:space="preserve">”</w:t>
        </w:r>
        <w:r>
          <w:rPr>
            <w:rStyle w:val="Hyperlink"/>
          </w:rPr>
          <w:t xml:space="preserve"> </w:t>
        </w:r>
        <w:r>
          <w:rPr>
            <w:rStyle w:val="Hyperlink"/>
          </w:rPr>
          <w:t xml:space="preserve">SEP</w:t>
        </w:r>
      </w:hyperlink>
      <w:r>
        <w:t xml:space="preserve">, substantive revision 16 July 2023, §§4.1–4.2. It locates the definition of freedom as preservation of rectitude for its own sake in</w:t>
      </w:r>
      <w:r>
        <w:t xml:space="preserve"> </w:t>
      </w:r>
      <w:r>
        <w:rPr>
          <w:i/>
          <w:iCs/>
        </w:rPr>
        <w:t xml:space="preserve">De libertate arbitrii</w:t>
      </w:r>
      <w:r>
        <w:t xml:space="preserve"> </w:t>
      </w:r>
      <w:r>
        <w:t xml:space="preserve">3 and the rational/moral conditions in</w:t>
      </w:r>
      <w:r>
        <w:t xml:space="preserve"> </w:t>
      </w:r>
      <w:r>
        <w:rPr>
          <w:i/>
          <w:iCs/>
        </w:rPr>
        <w:t xml:space="preserve">De veritate</w:t>
      </w:r>
      <w:r>
        <w:t xml:space="preserve"> </w:t>
      </w:r>
      <w:r>
        <w:t xml:space="preserve">12. Direct critical-edition collation of those freedom texts was not performed here.</w:t>
      </w:r>
    </w:p>
    <w:p>
      <w:pPr>
        <w:pStyle w:val="BodyText"/>
      </w:pPr>
      <w:r>
        <w:t xml:space="preserve">These passages distinguish doing the fitting thing knowingly for its own sake from coercion, reward dependence, or merely having contrary options. God and good angels can lack the ability to sin while remaining free. This is useful against identifying agency with random branching. It is not by itself an argument that God can create A, B, or nothing; a moral-perfection conception of freedom and creation-contingency are distinct theses.</w:t>
      </w:r>
    </w:p>
    <w:bookmarkEnd w:id="151"/>
    <w:bookmarkStart w:id="152" w:name="X090487c099725c0f52fb3519a6411b576379a72"/>
    <w:p>
      <w:pPr>
        <w:pStyle w:val="Heading3"/>
      </w:pPr>
      <w:r>
        <w:t xml:space="preserve">3. Scotus: live contingency and actual-act cognition</w:t>
      </w:r>
    </w:p>
    <w:p>
      <w:pPr>
        <w:pStyle w:val="FirstParagraph"/>
      </w:pPr>
      <w:r>
        <w:t xml:space="preserve">Fresh specialist consultation: Thomas Williams,</w:t>
      </w:r>
      <w:r>
        <w:t xml:space="preserve"> </w:t>
      </w:r>
      <w:hyperlink r:id="rId91">
        <w:r>
          <w:rPr>
            <w:rStyle w:val="Hyperlink"/>
          </w:rPr>
          <w:t xml:space="preserve">“</w:t>
        </w:r>
        <w:r>
          <w:rPr>
            <w:rStyle w:val="Hyperlink"/>
          </w:rPr>
          <w:t xml:space="preserve">John Duns Scotus,</w:t>
        </w:r>
        <w:r>
          <w:rPr>
            <w:rStyle w:val="Hyperlink"/>
          </w:rPr>
          <w:t xml:space="preserve">”</w:t>
        </w:r>
        <w:r>
          <w:rPr>
            <w:rStyle w:val="Hyperlink"/>
          </w:rPr>
          <w:t xml:space="preserve"> </w:t>
        </w:r>
        <w:r>
          <w:rPr>
            <w:rStyle w:val="Hyperlink"/>
          </w:rPr>
          <w:t xml:space="preserve">SEP</w:t>
        </w:r>
      </w:hyperlink>
      <w:r>
        <w:t xml:space="preserve">, substantive revision 15 December 2025, especially §5.2. It presents synchronic contingency as alternatives at the act of willing, not only changes of thought at later moments. It also emphasizes the will’s freedom rather than reducing it to intellectual appetite. Its portrayal of the Aquinas comparison is an interpretation, not a neutral proof that no Thomistic account admits adequate alternatives.</w:t>
      </w:r>
    </w:p>
    <w:p>
      <w:pPr>
        <w:pStyle w:val="BodyText"/>
      </w:pPr>
      <w:r>
        <w:t xml:space="preserve">The entry points to Stephen D. Dumont’s and Scott MacDonald’s 1995 scholarship on synchronic contingency. Those works are bibliographic leads rather than full articles newly read in this run.</w:t>
      </w:r>
      <w:r>
        <w:t xml:space="preserve"> </w:t>
      </w:r>
      <w:r>
        <w:rPr>
          <w:i/>
          <w:iCs/>
        </w:rPr>
        <w:t xml:space="preserve">Lectura</w:t>
      </w:r>
      <w:r>
        <w:t xml:space="preserve"> </w:t>
      </w:r>
      <w:r>
        <w:t xml:space="preserve">I d.39 and the corresponding</w:t>
      </w:r>
      <w:r>
        <w:t xml:space="preserve"> </w:t>
      </w:r>
      <w:r>
        <w:rPr>
          <w:i/>
          <w:iCs/>
        </w:rPr>
        <w:t xml:space="preserve">Ordinatio</w:t>
      </w:r>
      <w:r>
        <w:t xml:space="preserve"> </w:t>
      </w:r>
      <w:r>
        <w:t xml:space="preserve">materials remain critical-primary checking targets. The project does not claim a new direct inspection of those editions.</w:t>
      </w:r>
    </w:p>
    <w:p>
      <w:pPr>
        <w:pStyle w:val="BodyText"/>
      </w:pPr>
      <w:r>
        <w:t xml:space="preserve">§4.2 distinguishes abstractive knowledge of what an act would be from intuitive cognition of one’s actually exemplifying an act. It reports the importance of self-act cognition and cites Richard Cross’s</w:t>
      </w:r>
      <w:r>
        <w:t xml:space="preserve"> </w:t>
      </w:r>
      <w:r>
        <w:rPr>
          <w:i/>
          <w:iCs/>
        </w:rPr>
        <w:t xml:space="preserve">Duns Scotus’s Theory of Cognition</w:t>
      </w:r>
      <w:r>
        <w:t xml:space="preserve"> </w:t>
      </w:r>
      <w:r>
        <w:t xml:space="preserve">(2014), pp.43–64. The book is a lead; the inspected SEP discussion provides the current secondary evidence. Applying this creaturely cognition distinction to an uncreated agent’s adequate awareness of its own action is a constructive move.</w:t>
      </w:r>
    </w:p>
    <w:p>
      <w:pPr>
        <w:pStyle w:val="BodyText"/>
      </w:pPr>
      <w:r>
        <w:t xml:space="preserve">Scotus’s modal resources do not establish the present X assumption or the proposed extrinsic ontology of contingent specification. His formal distinction must not be equated with distinctions of reason, uncreated energies, or brute parts.</w:t>
      </w:r>
    </w:p>
    <w:bookmarkEnd w:id="152"/>
    <w:bookmarkStart w:id="153" w:name="Xbe2e629c48da968c5eafa250e98cee2c28b431d"/>
    <w:p>
      <w:pPr>
        <w:pStyle w:val="Heading3"/>
      </w:pPr>
      <w:r>
        <w:t xml:space="preserve">4. Augustine: new effects do not add cognition</w:t>
      </w:r>
    </w:p>
    <w:p>
      <w:pPr>
        <w:pStyle w:val="FirstParagraph"/>
      </w:pPr>
      <w:r>
        <w:t xml:space="preserve">Primary witness: Marcus Dods’s translation of</w:t>
      </w:r>
      <w:r>
        <w:t xml:space="preserve"> </w:t>
      </w:r>
      <w:r>
        <w:rPr>
          <w:i/>
          <w:iCs/>
        </w:rPr>
        <w:t xml:space="preserve">City of God</w:t>
      </w:r>
      <w:r>
        <w:t xml:space="preserve">, volume I, Gutenberg #45304,</w:t>
      </w:r>
      <w:r>
        <w:t xml:space="preserve"> </w:t>
      </w:r>
      <w:hyperlink r:id="rId99">
        <w:r>
          <w:rPr>
            <w:rStyle w:val="Hyperlink"/>
          </w:rPr>
          <w:t xml:space="preserve">mirror</w:t>
        </w:r>
      </w:hyperlink>
      <w:r>
        <w:t xml:space="preserve">. XI.10 was consulted in Part I; XI.21 was rechecked for this page.</w:t>
      </w:r>
    </w:p>
    <w:p>
      <w:pPr>
        <w:pStyle w:val="BodyText"/>
      </w:pPr>
      <w:r>
        <w:t xml:space="preserve">XI.21 explicitly denies that God first learns the goodness of the completed work from its completion. Things in time are comprehended in stable eternal presence; finished works add no knowledge. The chapter distinguishes maker, means, and reason for making, and uses goodness as the reason that good works are created by the good source. This directly witnesses non-reception and rational creative intelligibility.</w:t>
      </w:r>
    </w:p>
    <w:p>
      <w:pPr>
        <w:pStyle w:val="BodyText"/>
      </w:pPr>
      <w:r>
        <w:t xml:space="preserve">It presupposes a perfect theological knower. It does not prove such cognition from generic underivation or settle the modern cross-world truthmaker of</w:t>
      </w:r>
      <w:r>
        <w:t xml:space="preserve"> </w:t>
      </w:r>
      <w:r>
        <w:t xml:space="preserve">“</w:t>
      </w:r>
      <w:r>
        <w:t xml:space="preserve">God chooses A.</w:t>
      </w:r>
      <w:r>
        <w:t xml:space="preserve">”</w:t>
      </w:r>
      <w:r>
        <w:t xml:space="preserve"> </w:t>
      </w:r>
      <w:r>
        <w:rPr>
          <w:i/>
          <w:iCs/>
        </w:rPr>
        <w:t xml:space="preserve">De diversis quaestionibus 83</w:t>
      </w:r>
      <w:r>
        <w:t xml:space="preserve"> </w:t>
      </w:r>
      <w:r>
        <w:t xml:space="preserve">q.46 is the divine-ideas primary lead in the original project; no new critical collation of it is claimed. Exemplar knowledge must remain distinct from actual selection.</w:t>
      </w:r>
    </w:p>
    <w:bookmarkEnd w:id="153"/>
    <w:bookmarkStart w:id="154" w:name="Xf1a345e3579d1946b6a486db0541c19d8339ba7"/>
    <w:p>
      <w:pPr>
        <w:pStyle w:val="Heading3"/>
      </w:pPr>
      <w:r>
        <w:t xml:space="preserve">5. Dionysius and Maximus: possibilities and realization</w:t>
      </w:r>
    </w:p>
    <w:p>
      <w:pPr>
        <w:pStyle w:val="FirstParagraph"/>
      </w:pPr>
      <w:r>
        <w:t xml:space="preserve">The project’s earlier</w:t>
      </w:r>
      <w:r>
        <w:t xml:space="preserve"> </w:t>
      </w:r>
      <w:hyperlink r:id="rId101">
        <w:r>
          <w:rPr>
            <w:rStyle w:val="Hyperlink"/>
          </w:rPr>
          <w:t xml:space="preserve">Eastern dossier</w:t>
        </w:r>
      </w:hyperlink>
      <w:r>
        <w:t xml:space="preserve"> </w:t>
      </w:r>
      <w:r>
        <w:t xml:space="preserve">directly consulted readable clauses of</w:t>
      </w:r>
      <w:r>
        <w:t xml:space="preserve"> </w:t>
      </w:r>
      <w:r>
        <w:rPr>
          <w:i/>
          <w:iCs/>
        </w:rPr>
        <w:t xml:space="preserve">Divine Names</w:t>
      </w:r>
      <w:r>
        <w:t xml:space="preserve"> </w:t>
      </w:r>
      <w:r>
        <w:t xml:space="preserve">II.5, V.8, IX.6–7 through academic unproofread Greek PG OCR, and</w:t>
      </w:r>
      <w:r>
        <w:t xml:space="preserve"> </w:t>
      </w:r>
      <w:r>
        <w:rPr>
          <w:i/>
          <w:iCs/>
        </w:rPr>
        <w:t xml:space="preserve">Ambiguum</w:t>
      </w:r>
      <w:r>
        <w:t xml:space="preserve"> </w:t>
      </w:r>
      <w:r>
        <w:t xml:space="preserve">7 through a provisional Greek transcription with undocumented source edition. Those qualifications continue to apply. Reliable modern complete translations—Luibheid/Rorem and Constas—remain critical follow-ups.</w:t>
      </w:r>
    </w:p>
    <w:p>
      <w:pPr>
        <w:pStyle w:val="BodyText"/>
      </w:pPr>
      <w:r>
        <w:t xml:space="preserve">Dionysian whole-source participation, reception-dependent impressions, and unified exemplary logoi/divine wills supply resources for communication without source partition. Do not identify Dionysius with necessitarian emanation merely because a necessity countermodel is useful. Modal interpretation of procession is disputed and a text’s use of</w:t>
      </w:r>
      <w:r>
        <w:t xml:space="preserve"> </w:t>
      </w:r>
      <w:r>
        <w:t xml:space="preserve">“</w:t>
      </w:r>
      <w:r>
        <w:t xml:space="preserve">will</w:t>
      </w:r>
      <w:r>
        <w:t xml:space="preserve">”</w:t>
      </w:r>
      <w:r>
        <w:t xml:space="preserve"> </w:t>
      </w:r>
      <w:r>
        <w:t xml:space="preserve">does not alone settle its exact freedom theory.</w:t>
      </w:r>
    </w:p>
    <w:p>
      <w:pPr>
        <w:pStyle w:val="BodyText"/>
      </w:pPr>
      <w:r>
        <w:t xml:space="preserve">Maximus’s passage distinguishes logoi and divine knowledge from the actualization of creatures at their fitting times. This prevents intelligibility from being confused with created existence. It supports differentiated expression without a many-part source. A theory that all specification consists exclusively in extrinsic facts about actions is not thereby present in Maximus’s text. His Christological and teleological context is not reduced to a modern neutral modal calculus.</w:t>
      </w:r>
    </w:p>
    <w:bookmarkEnd w:id="154"/>
    <w:bookmarkStart w:id="155" w:name="X034e3234b72a98398c959c51dfefd17ece32c22"/>
    <w:p>
      <w:pPr>
        <w:pStyle w:val="Heading3"/>
      </w:pPr>
      <w:r>
        <w:t xml:space="preserve">6. Supporting witnesses and genuine development</w:t>
      </w:r>
    </w:p>
    <w:p>
      <w:pPr>
        <w:pStyle w:val="FirstParagraph"/>
      </w:pPr>
      <w:r>
        <w:t xml:space="preserve">Bonaventure’s exemplarism and the distinction among vestige, image, and similitude provide continuity with participation.</w:t>
      </w:r>
      <w:r>
        <w:t xml:space="preserve"> </w:t>
      </w:r>
      <w:r>
        <w:rPr>
          <w:i/>
          <w:iCs/>
        </w:rPr>
        <w:t xml:space="preserve">Itinerarium</w:t>
      </w:r>
      <w:r>
        <w:t xml:space="preserve"> </w:t>
      </w:r>
      <w:r>
        <w:t xml:space="preserve">VI.2’s diffusive goodness concerns trinitarian fecundity and cannot be transferred into a proof of necessary creation. The original dossier distinguishes consulted archived scholarship from limited-provenance primary comparison and reliable editions not read.</w:t>
      </w:r>
    </w:p>
    <w:p>
      <w:pPr>
        <w:pStyle w:val="BodyText"/>
      </w:pPr>
      <w:r>
        <w:t xml:space="preserve">Nyssa’s</w:t>
      </w:r>
      <w:r>
        <w:t xml:space="preserve"> </w:t>
      </w:r>
      <w:r>
        <w:rPr>
          <w:i/>
          <w:iCs/>
        </w:rPr>
        <w:t xml:space="preserve">On the Making of Man</w:t>
      </w:r>
      <w:r>
        <w:t xml:space="preserve"> </w:t>
      </w:r>
      <w:r>
        <w:t xml:space="preserve">XVI, directly consulted in the original project’s Moore/Wilson transcription, differentiates likeness in attributes from underlying created/uncreated nature and discusses created limit and measure.</w:t>
      </w:r>
      <w:r>
        <w:t xml:space="preserve"> </w:t>
      </w:r>
      <w:r>
        <w:rPr>
          <w:i/>
          <w:iCs/>
        </w:rPr>
        <w:t xml:space="preserve">Life of Moses</w:t>
      </w:r>
      <w:r>
        <w:t xml:space="preserve"> </w:t>
      </w:r>
      <w:r>
        <w:t xml:space="preserve">remains a qualified critical-edition lead. Infinity and epektasis do not themselves supply creation alternatives.</w:t>
      </w:r>
    </w:p>
    <w:p>
      <w:pPr>
        <w:pStyle w:val="BodyText"/>
      </w:pPr>
      <w:r>
        <w:t xml:space="preserve">Eriugena’s theophany and Przywara’s Creator–creature interval are supporting tests for expression becoming constitution. Relevant Eriugena source passages were identified through archived specialist discussion; Przywara’s full</w:t>
      </w:r>
      <w:r>
        <w:t xml:space="preserve"> </w:t>
      </w:r>
      <w:r>
        <w:rPr>
          <w:i/>
          <w:iCs/>
        </w:rPr>
        <w:t xml:space="preserve">Analogia Entis</w:t>
      </w:r>
      <w:r>
        <w:t xml:space="preserve"> </w:t>
      </w:r>
      <w:r>
        <w:t xml:space="preserve">was not newly consulted. Neither authority is used as an axiom replacing the missing bridge.</w:t>
      </w:r>
    </w:p>
    <w:p>
      <w:pPr>
        <w:pStyle w:val="BodyText"/>
      </w:pPr>
      <w:r>
        <w:t xml:space="preserve">Additional thinkers are admitted where they improve an argument. Aristotle’s distinction between rational power and its determinate exercise is materially relevant to Aquinas’s knowledge/will argument. Palamite essence–energies and Scotist formal distinctions are controls against declaring all real divine distinctions compositional. Their substantive disagreements are preserved rather than harmonized through a common label.</w:t>
      </w:r>
    </w:p>
    <w:bookmarkEnd w:id="155"/>
    <w:bookmarkStart w:id="156" w:name="contemporary-adversarial-scholarship"/>
    <w:p>
      <w:pPr>
        <w:pStyle w:val="Heading3"/>
      </w:pPr>
      <w:r>
        <w:t xml:space="preserve">7. Contemporary adversarial scholarship</w:t>
      </w:r>
    </w:p>
    <w:p>
      <w:pPr>
        <w:pStyle w:val="FirstParagraph"/>
      </w:pPr>
      <w:r>
        <w:t xml:space="preserve">William F. Vallicella’s</w:t>
      </w:r>
      <w:r>
        <w:t xml:space="preserve"> </w:t>
      </w:r>
      <w:hyperlink r:id="rId95">
        <w:r>
          <w:rPr>
            <w:rStyle w:val="Hyperlink"/>
          </w:rPr>
          <w:t xml:space="preserve">“</w:t>
        </w:r>
        <w:r>
          <w:rPr>
            <w:rStyle w:val="Hyperlink"/>
          </w:rPr>
          <w:t xml:space="preserve">Divine Simplicity,</w:t>
        </w:r>
        <w:r>
          <w:rPr>
            <w:rStyle w:val="Hyperlink"/>
          </w:rPr>
          <w:t xml:space="preserve">”</w:t>
        </w:r>
        <w:r>
          <w:rPr>
            <w:rStyle w:val="Hyperlink"/>
          </w:rPr>
          <w:t xml:space="preserve"> </w:t>
        </w:r>
        <w:r>
          <w:rPr>
            <w:rStyle w:val="Hyperlink"/>
          </w:rPr>
          <w:t xml:space="preserve">SEP</w:t>
        </w:r>
      </w:hyperlink>
      <w:r>
        <w:t xml:space="preserve">, current publisher text with copyright 2023, was inspected at §§6–7 and the adjacent truthmaker discussion. It treats contingent cognition, intrinsic states, aseity, and modal collapse as different problems. It presents Grant’s belief and immediate-cognition models and the Brower/Grant disagreement over dependence of object-relative knowledge.</w:t>
      </w:r>
    </w:p>
    <w:p>
      <w:pPr>
        <w:pStyle w:val="BodyText"/>
      </w:pPr>
      <w:r>
        <w:t xml:space="preserve">The page cites W. Matthews Grant,</w:t>
      </w:r>
      <w:r>
        <w:t xml:space="preserve"> </w:t>
      </w:r>
      <w:r>
        <w:t xml:space="preserve">“</w:t>
      </w:r>
      <w:r>
        <w:t xml:space="preserve">Divine Simplicity, Contingent Truths, and Extrinsic Models of Divine Knowing</w:t>
      </w:r>
      <w:r>
        <w:t xml:space="preserve">”</w:t>
      </w:r>
      <w:r>
        <w:t xml:space="preserve"> </w:t>
      </w:r>
      <w:r>
        <w:t xml:space="preserve">(2012), and Jeffrey E. Brower,</w:t>
      </w:r>
      <w:r>
        <w:t xml:space="preserve"> </w:t>
      </w:r>
      <w:r>
        <w:t xml:space="preserve">“</w:t>
      </w:r>
      <w:r>
        <w:t xml:space="preserve">Simplicity and Aseity</w:t>
      </w:r>
      <w:r>
        <w:t xml:space="preserve">”</w:t>
      </w:r>
      <w:r>
        <w:t xml:space="preserve"> </w:t>
      </w:r>
      <w:r>
        <w:t xml:space="preserve">(2009). These monographs/articles are not presented as fully read here: the consulted SEP exposition supplies the evidence. Their rival ontologies show why the page cannot assume all determinate cognitive content must be an acquired intrinsic accident. Conversely, externalism alone does not demonstrate adequate knowledge or the agent’s intentional control.</w:t>
      </w:r>
    </w:p>
    <w:p>
      <w:pPr>
        <w:pStyle w:val="BodyText"/>
      </w:pPr>
      <w:r>
        <w:t xml:space="preserve">Edward Wierenga’s</w:t>
      </w:r>
      <w:r>
        <w:t xml:space="preserve"> </w:t>
      </w:r>
      <w:hyperlink r:id="rId97">
        <w:r>
          <w:rPr>
            <w:rStyle w:val="Hyperlink"/>
          </w:rPr>
          <w:t xml:space="preserve">“</w:t>
        </w:r>
        <w:r>
          <w:rPr>
            <w:rStyle w:val="Hyperlink"/>
          </w:rPr>
          <w:t xml:space="preserve">Omniscience,</w:t>
        </w:r>
        <w:r>
          <w:rPr>
            <w:rStyle w:val="Hyperlink"/>
          </w:rPr>
          <w:t xml:space="preserve">”</w:t>
        </w:r>
        <w:r>
          <w:rPr>
            <w:rStyle w:val="Hyperlink"/>
          </w:rPr>
          <w:t xml:space="preserve"> </w:t>
        </w:r>
        <w:r>
          <w:rPr>
            <w:rStyle w:val="Hyperlink"/>
          </w:rPr>
          <w:t xml:space="preserve">SEP</w:t>
        </w:r>
      </w:hyperlink>
      <w:r>
        <w:t xml:space="preserve">, substantive revision 10 May 2025, was inspected for complete-knowledge definitions, epistemic adequacy, non-discursivity, and foreknowledge/free-action issues. Complete knowledge of all truths differs from non-reception, infallibility, or lack of discursive inference. The proposed account of knowledge through intentional action has a limited scope; it is not a proved omniscience thesis.</w:t>
      </w:r>
    </w:p>
    <w:p>
      <w:pPr>
        <w:pStyle w:val="BodyText"/>
      </w:pPr>
      <w:r>
        <w:t xml:space="preserve">No source establishes the final constructive model in its entirety. The model’s agency, specification, and epistemic bridges must be defended against these sources’ strongest objections, not merely illustrated by historical quotations.</w:t>
      </w:r>
    </w:p>
    <w:bookmarkEnd w:id="156"/>
    <w:bookmarkEnd w:id="157"/>
    <w:p>
      <w:pPr>
        <w:pStyle w:val="Heading1"/>
      </w:pPr>
      <w:r>
        <w:t xml:space="preserve">Appendix D — beyond-development.md</w:t>
      </w:r>
    </w:p>
    <w:p>
      <w:pPr>
        <w:pStyle w:val="FirstParagraph"/>
      </w:pPr>
      <w:r>
        <w:t xml:space="preserve">Original research file: https:/​/​participation-​6o4.​pages.​dev/​research/​beyond-​development.​md</w:t>
      </w:r>
    </w:p>
    <w:bookmarkStart w:id="169" w:name="X8b87a511cff05601a3d2097f72768bfc0933940"/>
    <w:p>
      <w:pPr>
        <w:pStyle w:val="Heading2"/>
      </w:pPr>
      <w:r>
        <w:t xml:space="preserve">Beyond Participation: Newman-style development assessment</w:t>
      </w:r>
    </w:p>
    <w:bookmarkStart w:id="158" w:name="what-is-being-assessed"/>
    <w:p>
      <w:pPr>
        <w:pStyle w:val="Heading3"/>
      </w:pPr>
      <w:r>
        <w:t xml:space="preserve">What is being assessed</w:t>
      </w:r>
    </w:p>
    <w:p>
      <w:pPr>
        <w:pStyle w:val="FirstParagraph"/>
      </w:pPr>
      <w:r>
        <w:t xml:space="preserve">The proposal concerns divine action: how an underived source could freely and knowingly cause this finite creation without acquiring intrinsic actuality. It distinguishes intrinsic actuality, capacity to act, and actual intentional action. Intentional control and genuine alternatives are added premises. Awareness of one’s own action, adequate disclosure of its effect, and epistemic warrant are further knowledge premises. Describing an intended effect does not establish the choice or the knowledge requiring explanation.</w:t>
      </w:r>
    </w:p>
    <w:p>
      <w:pPr>
        <w:pStyle w:val="BodyText"/>
      </w:pPr>
      <w:r>
        <w:t xml:space="preserve">This is a modern constructive development. Anselm, Aquinas, Scotus, Augustine, Dionysius, and Maximus are principal exemplars at particular joints; Bonaventure, Nyssa, Eriugena, and Przywara provide continuity and stress tests. They set no ceiling on inquiry. Contemporary arguments and new distinctions can materially improve the account. They also cannot erase historical contradictions or create an ecclesial claim that the resulting model is defined doctrine.</w:t>
      </w:r>
    </w:p>
    <w:bookmarkEnd w:id="158"/>
    <w:bookmarkStart w:id="166" w:name="newmans-actual-notes"/>
    <w:p>
      <w:pPr>
        <w:pStyle w:val="Heading3"/>
      </w:pPr>
      <w:r>
        <w:t xml:space="preserve">Newman’s actual notes</w:t>
      </w:r>
    </w:p>
    <w:p>
      <w:pPr>
        <w:pStyle w:val="FirstParagraph"/>
      </w:pPr>
      <w:r>
        <w:t xml:space="preserve">The project consulted</w:t>
      </w:r>
      <w:r>
        <w:t xml:space="preserve"> </w:t>
      </w:r>
      <w:r>
        <w:rPr>
          <w:i/>
          <w:iCs/>
        </w:rPr>
        <w:t xml:space="preserve">An Essay on the Development of Christian Doctrine</w:t>
      </w:r>
      <w:r>
        <w:t xml:space="preserve">, chapter V, through Gutenberg #35110. Its notes are preservation of type, continuity of principles, power of assimilation, logical sequence, anticipation of its future, conservative action upon its past, and chronic vigour. The chapter’s opening notes their varying cogency, independence, and applicability. Their use here is analogical methodology, not ecclesial certification.</w:t>
      </w:r>
    </w:p>
    <w:bookmarkStart w:id="159" w:name="preservation-of-type"/>
    <w:p>
      <w:pPr>
        <w:pStyle w:val="Heading4"/>
      </w:pPr>
      <w:r>
        <w:t xml:space="preserve">Preservation of type</w:t>
      </w:r>
    </w:p>
    <w:p>
      <w:pPr>
        <w:pStyle w:val="FirstParagraph"/>
      </w:pPr>
      <w:r>
        <w:t xml:space="preserve">The type to conserve is a genuinely uncreated, non-receptive source and really actual, finite, distinct expressions. Neither a source partition nor creature-created divine completion is introduced. Voluntary communication should remain real communication; a merely verbal creator-description would not preserve the problem’s type.</w:t>
      </w:r>
    </w:p>
    <w:p>
      <w:pPr>
        <w:pStyle w:val="BodyText"/>
      </w:pPr>
      <w:r>
        <w:t xml:space="preserve">Provisional assessment: the proposed intentional action preserves this type if it is genuinely grounded in active source agency while introducing no acquired divine constituent. Whether that ontology succeeds is not assumed.</w:t>
      </w:r>
    </w:p>
    <w:bookmarkEnd w:id="159"/>
    <w:bookmarkStart w:id="160" w:name="continuity-of-principles"/>
    <w:p>
      <w:pPr>
        <w:pStyle w:val="Heading4"/>
      </w:pPr>
      <w:r>
        <w:t xml:space="preserve">Continuity of principles</w:t>
      </w:r>
    </w:p>
    <w:p>
      <w:pPr>
        <w:pStyle w:val="FirstParagraph"/>
      </w:pPr>
      <w:r>
        <w:t xml:space="preserve">Created actuality continues to be sourced. Noncomposition remains conditional upon constitution-grounding rather than inferred from nonpartition alone. Non-exhaustion remains insufficient for freedom. Cognitive direction remains source-first rather than an effect supplying divine actuality.</w:t>
      </w:r>
    </w:p>
    <w:p>
      <w:pPr>
        <w:pStyle w:val="BodyText"/>
      </w:pPr>
      <w:r>
        <w:t xml:space="preserve">An actual voluntary action is openly admitted as an additional, irreducible fact. Its contingency does not by itself reverse source underivation; nevertheless, a critic may argue that this particular intention adds intrinsic determination. That argument must be addressed, rather than excluded by describing the intention as a relation to its effect.</w:t>
      </w:r>
    </w:p>
    <w:bookmarkEnd w:id="160"/>
    <w:bookmarkStart w:id="161" w:name="power-of-assimilation"/>
    <w:p>
      <w:pPr>
        <w:pStyle w:val="Heading4"/>
      </w:pPr>
      <w:r>
        <w:t xml:space="preserve">Power of assimilation</w:t>
      </w:r>
    </w:p>
    <w:p>
      <w:pPr>
        <w:pStyle w:val="FirstParagraph"/>
      </w:pPr>
      <w:r>
        <w:t xml:space="preserve">Exemplar intelligibility, active rational power, live contingency, and reflexive cognition solve distinct jobs. Their assimilation is fruitful only if those jobs remain distinguishable. Scotist formal distinction, Thomistic attribute identity, and Palamite uncreated energies are not assimilated by declaring them the same ontology.</w:t>
      </w:r>
    </w:p>
    <w:p>
      <w:pPr>
        <w:pStyle w:val="BodyText"/>
      </w:pPr>
      <w:r>
        <w:t xml:space="preserve">The account can retrieve an author’s insight while declining the author’s surrounding explanation. Such a departure must be named. In particular, a irreducible action interpreted as a real relation should not be retrospectively attributed to Aquinas merely because his doctrine of relations supplies resources for non-reception.</w:t>
      </w:r>
    </w:p>
    <w:bookmarkEnd w:id="161"/>
    <w:bookmarkStart w:id="162" w:name="logical-sequence"/>
    <w:p>
      <w:pPr>
        <w:pStyle w:val="Heading4"/>
      </w:pPr>
      <w:r>
        <w:t xml:space="preserve">Logical sequence</w:t>
      </w:r>
    </w:p>
    <w:p>
      <w:pPr>
        <w:pStyle w:val="FirstParagraph"/>
      </w:pPr>
      <w:r>
        <w:t xml:space="preserve">The actual sequence is branching. Underivation plus KD yield noncomposition. Separately, a rational-volitional account motivates optional outward expression; an explicit modal extension supplies alternatives; intentional control distinguishes authorship from a spontaneous outcome. A further premise connects intention to the actual effect, and warrant connects the agent’s awareness to knowledge.</w:t>
      </w:r>
    </w:p>
    <w:p>
      <w:pPr>
        <w:pStyle w:val="BodyText"/>
      </w:pPr>
      <w:r>
        <w:t xml:space="preserve">No logical arrow establishes God’s existence, every stronger simplicity thesis, or omniscience. The sequence is intelligible precisely because its added commitments are visible.</w:t>
      </w:r>
    </w:p>
    <w:bookmarkEnd w:id="162"/>
    <w:bookmarkStart w:id="163" w:name="anticipation-of-its-future"/>
    <w:p>
      <w:pPr>
        <w:pStyle w:val="Heading4"/>
      </w:pPr>
      <w:r>
        <w:t xml:space="preserve">Anticipation of its future</w:t>
      </w:r>
    </w:p>
    <w:p>
      <w:pPr>
        <w:pStyle w:val="FirstParagraph"/>
      </w:pPr>
      <w:r>
        <w:t xml:space="preserve">Earlier texts anticipate aspects: knowing effects through the source, knowing possibilities without producing all of them, the distinction between end and optional means, and relative predication without an acquired intrinsic accident. They do not thereby anticipate this exact language or prove the combined scheme.</w:t>
      </w:r>
    </w:p>
    <w:p>
      <w:pPr>
        <w:pStyle w:val="BodyText"/>
      </w:pPr>
      <w:r>
        <w:t xml:space="preserve">An antecedent passage is evidence of continuity only within its actual scope. Historical anticipation is not a warrant to backdate a contemporary answer to modal truthmaking.</w:t>
      </w:r>
    </w:p>
    <w:bookmarkEnd w:id="163"/>
    <w:bookmarkStart w:id="164" w:name="conservative-action-upon-its-past"/>
    <w:p>
      <w:pPr>
        <w:pStyle w:val="Heading4"/>
      </w:pPr>
      <w:r>
        <w:t xml:space="preserve">Conservative action upon its past</w:t>
      </w:r>
    </w:p>
    <w:p>
      <w:pPr>
        <w:pStyle w:val="FirstParagraph"/>
      </w:pPr>
      <w:r>
        <w:t xml:space="preserve">The original participation grammar remains usable. The new page does not pretend that stronger agency results had already been contained in reception or measure. It preserves the first noncomposition theorem while revealing an alternative route under the stronger assumptions of a no-creation alternative and the same constituent profile across possible outcomes.</w:t>
      </w:r>
    </w:p>
    <w:p>
      <w:pPr>
        <w:pStyle w:val="BodyText"/>
      </w:pPr>
      <w:r>
        <w:t xml:space="preserve">It also preserves open cases rather than resolving them by stipulation. If a rival permits intrinsic intentional variation without composition, that possibility is not dismissed before the stronger simplicity premise is defended.</w:t>
      </w:r>
    </w:p>
    <w:bookmarkEnd w:id="164"/>
    <w:bookmarkStart w:id="165" w:name="chronic-vigour"/>
    <w:p>
      <w:pPr>
        <w:pStyle w:val="Heading4"/>
      </w:pPr>
      <w:r>
        <w:t xml:space="preserve">Chronic vigour</w:t>
      </w:r>
    </w:p>
    <w:p>
      <w:pPr>
        <w:pStyle w:val="FirstParagraph"/>
      </w:pPr>
      <w:r>
        <w:t xml:space="preserve">This new architecture has no demonstrated long historical endurance. Countermodel resistance and conceptual fruitfulness are provisional analogues, not the seventh note itself. A temporary lack of elementary formal contradiction is especially insufficient to show chronic vigour or metaphysical truth.</w:t>
      </w:r>
    </w:p>
    <w:bookmarkEnd w:id="165"/>
    <w:bookmarkEnd w:id="166"/>
    <w:bookmarkStart w:id="167" w:name="X7691ebf0ba49cb653522617e502675626946423"/>
    <w:p>
      <w:pPr>
        <w:pStyle w:val="Heading3"/>
      </w:pPr>
      <w:r>
        <w:t xml:space="preserve">Continuity and explanatory success are separate</w:t>
      </w:r>
    </w:p>
    <w:p>
      <w:pPr>
        <w:pStyle w:val="FirstParagraph"/>
      </w:pPr>
      <w:r>
        <w:t xml:space="preserve">A proposal can be historically continuous and still fail to explain its central fact. The proposed action must involve actual intelligent control rather than merely restate that A exists. Awareness of one’s own action must disclose the actual intention, rather than merely a capacity that remains the same across possible outcomes. The proposed primitive resources must be independently intelligible and warranted.</w:t>
      </w:r>
    </w:p>
    <w:p>
      <w:pPr>
        <w:pStyle w:val="BodyText"/>
      </w:pPr>
      <w:r>
        <w:t xml:space="preserve">Conversely, going beyond an author’s vocabulary need not be arbitrary invention. New distinctions can expose an inferential burden that older accounts treated implicitly. The present development is legitimate as a candidate inquiry insofar as it preserves the inherited constraints, proceeds by explicit additions, and remains answerable to rival explanations.</w:t>
      </w:r>
    </w:p>
    <w:bookmarkEnd w:id="167"/>
    <w:bookmarkStart w:id="168" w:name="verdict"/>
    <w:p>
      <w:pPr>
        <w:pStyle w:val="Heading3"/>
      </w:pPr>
      <w:r>
        <w:t xml:space="preserve">Verdict</w:t>
      </w:r>
    </w:p>
    <w:p>
      <w:pPr>
        <w:pStyle w:val="FirstParagraph"/>
      </w:pPr>
      <w:r>
        <w:t xml:space="preserve">This is a provisional candidate development of an explanatory grammar. It has not established full classical simplicity, a complete modal-collapse solution, or a theory of every contingent divine cognitive fact. Its positive achievement is to isolate the agency and epistemic resources a source-first account requires and test their separability in disclosed sparse models. If those resources cannot be defended without compromising the conserved principles, the development must revise or reject them rather than declare the problem solved.</w:t>
      </w:r>
    </w:p>
    <w:bookmarkEnd w:id="168"/>
    <w:bookmarkEnd w:id="169"/>
    <w:p>
      <w:pPr>
        <w:pStyle w:val="Heading1"/>
      </w:pPr>
      <w:r>
        <w:t xml:space="preserve">Appendix E — reading-guide.md</w:t>
      </w:r>
    </w:p>
    <w:p>
      <w:pPr>
        <w:pStyle w:val="FirstParagraph"/>
      </w:pPr>
      <w:r>
        <w:t xml:space="preserve">Original research file: https:/​/​participation-​6o4.​pages.​dev/​research/​reading-​guide.​md</w:t>
      </w:r>
    </w:p>
    <w:bookmarkStart w:id="179"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170" w:name="five-recurring-questions"/>
    <w:p>
      <w:pPr>
        <w:pStyle w:val="Heading3"/>
      </w:pPr>
      <w:r>
        <w:t xml:space="preserve">Five recurring questions</w:t>
      </w:r>
    </w:p>
    <w:p>
      <w:pPr>
        <w:pStyle w:val="Compact"/>
        <w:numPr>
          <w:ilvl w:val="0"/>
          <w:numId w:val="1006"/>
        </w:numPr>
      </w:pPr>
      <w:r>
        <w:rPr>
          <w:b/>
          <w:bCs/>
        </w:rPr>
        <w:t xml:space="preserve">Reality:</w:t>
      </w:r>
      <w:r>
        <w:t xml:space="preserve"> </w:t>
      </w:r>
      <w:r>
        <w:t xml:space="preserve">What differs, what realizes that difference, and what makes the subject one?</w:t>
      </w:r>
    </w:p>
    <w:p>
      <w:pPr>
        <w:pStyle w:val="Compact"/>
        <w:numPr>
          <w:ilvl w:val="0"/>
          <w:numId w:val="1006"/>
        </w:numPr>
      </w:pPr>
      <w:r>
        <w:rPr>
          <w:b/>
          <w:bCs/>
        </w:rPr>
        <w:t xml:space="preserve">Explanation:</w:t>
      </w:r>
      <w:r>
        <w:t xml:space="preserve"> </w:t>
      </w:r>
      <w:r>
        <w:t xml:space="preserve">What explains what, through which relation and in which respect?</w:t>
      </w:r>
    </w:p>
    <w:p>
      <w:pPr>
        <w:pStyle w:val="Compact"/>
        <w:numPr>
          <w:ilvl w:val="0"/>
          <w:numId w:val="1006"/>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06"/>
        </w:numPr>
      </w:pPr>
      <w:r>
        <w:rPr>
          <w:b/>
          <w:bCs/>
        </w:rPr>
        <w:t xml:space="preserve">Disclosure:</w:t>
      </w:r>
      <w:r>
        <w:t xml:space="preserve"> </w:t>
      </w:r>
      <w:r>
        <w:t xml:space="preserve">What is expressed, what warrants knowledge of it, and how far does that warrant extend?</w:t>
      </w:r>
    </w:p>
    <w:p>
      <w:pPr>
        <w:pStyle w:val="Compact"/>
        <w:numPr>
          <w:ilvl w:val="0"/>
          <w:numId w:val="1006"/>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170"/>
    <w:bookmarkStart w:id="171"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171"/>
    <w:bookmarkStart w:id="172"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172"/>
    <w:bookmarkStart w:id="173"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07"/>
        </w:numPr>
      </w:pPr>
      <w:r>
        <w:rPr>
          <w:b/>
          <w:bCs/>
        </w:rPr>
        <w:t xml:space="preserve">Privation:</w:t>
      </w:r>
      <w:r>
        <w:t xml:space="preserve"> </w:t>
      </w:r>
      <w:r>
        <w:t xml:space="preserve">removing ignorance improves understanding.</w:t>
      </w:r>
    </w:p>
    <w:p>
      <w:pPr>
        <w:pStyle w:val="Compact"/>
        <w:numPr>
          <w:ilvl w:val="0"/>
          <w:numId w:val="1007"/>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07"/>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173"/>
    <w:bookmarkStart w:id="174"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174"/>
    <w:bookmarkStart w:id="178"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175">
        <w:r>
          <w:rPr>
            <w:rStyle w:val="Hyperlink"/>
          </w:rPr>
          <w:t xml:space="preserve">Participation</w:t>
        </w:r>
      </w:hyperlink>
      <w:r>
        <w:t xml:space="preserve">,</w:t>
      </w:r>
      <w:r>
        <w:t xml:space="preserve"> </w:t>
      </w:r>
      <w:hyperlink r:id="rId176">
        <w:r>
          <w:rPr>
            <w:rStyle w:val="Hyperlink"/>
          </w:rPr>
          <w:t xml:space="preserve">Beyond Participation</w:t>
        </w:r>
      </w:hyperlink>
      <w:r>
        <w:t xml:space="preserve">, and</w:t>
      </w:r>
      <w:r>
        <w:t xml:space="preserve"> </w:t>
      </w:r>
      <w:hyperlink r:id="rId177">
        <w:r>
          <w:rPr>
            <w:rStyle w:val="Hyperlink"/>
          </w:rPr>
          <w:t xml:space="preserve">Divine Agency</w:t>
        </w:r>
      </w:hyperlink>
      <w:r>
        <w:t xml:space="preserve">.</w:t>
      </w:r>
    </w:p>
    <w:bookmarkEnd w:id="178"/>
    <w:bookmarkEnd w:id="179"/>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14,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75" Type="http://schemas.openxmlformats.org/officeDocument/2006/relationships/hyperlink" Target="https://participation-6o4.pages.dev/" TargetMode="External"/><Relationship Id="rId75" Type="http://schemas.openxmlformats.org/officeDocument/2006/relationships/hyperlink" Target="https://participation-6o4.pages.dev/#freedom" TargetMode="External"/><Relationship Id="rId176" Type="http://schemas.openxmlformats.org/officeDocument/2006/relationships/hyperlink" Target="https://participation-6o4.pages.dev/beyond-participation/" TargetMode="External"/><Relationship Id="rId82" Type="http://schemas.openxmlformats.org/officeDocument/2006/relationships/hyperlink" Target="https://participation-6o4.pages.dev/beyond-participation/#agency" TargetMode="External"/><Relationship Id="rId74" Type="http://schemas.openxmlformats.org/officeDocument/2006/relationships/hyperlink" Target="https://participation-6o4.pages.dev/beyond-participation/#contingency" TargetMode="External"/><Relationship Id="rId67" Type="http://schemas.openxmlformats.org/officeDocument/2006/relationships/hyperlink" Target="https://participation-6o4.pages.dev/beyond-participation/#map" TargetMode="External"/><Relationship Id="rId66" Type="http://schemas.openxmlformats.org/officeDocument/2006/relationships/hyperlink" Target="https://participation-6o4.pages.dev/beyond-participation/#simplicity" TargetMode="External"/><Relationship Id="rId83" Type="http://schemas.openxmlformats.org/officeDocument/2006/relationships/hyperlink" Target="https://participation-6o4.pages.dev/beyond-participation/#specification" TargetMode="External"/><Relationship Id="rId177" Type="http://schemas.openxmlformats.org/officeDocument/2006/relationships/hyperlink" Target="https://participation-6o4.pages.dev/real-difference/" TargetMode="External"/><Relationship Id="rId84" Type="http://schemas.openxmlformats.org/officeDocument/2006/relationships/hyperlink" Target="https://participation-6o4.pages.dev/real-difference/#exercise" TargetMode="External"/><Relationship Id="rId59" Type="http://schemas.openxmlformats.org/officeDocument/2006/relationships/hyperlink" Target="https://participation-6o4.pages.dev/research/beyond-development.md" TargetMode="External"/><Relationship Id="rId57" Type="http://schemas.openxmlformats.org/officeDocument/2006/relationships/hyperlink" Target="https://participation-6o4.pages.dev/research/beyond-formal.md" TargetMode="External"/><Relationship Id="rId56" Type="http://schemas.openxmlformats.org/officeDocument/2006/relationships/hyperlink" Target="https://participation-6o4.pages.dev/research/beyond-report.md" TargetMode="External"/><Relationship Id="rId58" Type="http://schemas.openxmlformats.org/officeDocument/2006/relationships/hyperlink" Target="https://participation-6o4.pages.dev/research/beyond-sources.md" TargetMode="External"/><Relationship Id="rId101" Type="http://schemas.openxmlformats.org/officeDocument/2006/relationships/hyperlink" Target="https://participation-6o4.pages.dev/research/eastern-metaphysics.md" TargetMode="External"/><Relationship Id="rId137" Type="http://schemas.openxmlformats.org/officeDocument/2006/relationships/hyperlink" Target="https://participation-6o4.pages.dev/research/formal-architecture.md" TargetMode="External"/><Relationship Id="rId150" Type="http://schemas.openxmlformats.org/officeDocument/2006/relationships/hyperlink" Target="https://participation-6o4.pages.dev/research/latin-exemplarism.md" TargetMode="External"/><Relationship Id="rId20" Type="http://schemas.openxmlformats.org/officeDocument/2006/relationships/hyperlink" Target="https://participation-6o4.pages.dev/research/reading-guide.md" TargetMode="External"/><Relationship Id="rId93" Type="http://schemas.openxmlformats.org/officeDocument/2006/relationships/hyperlink" Target="https://plato.stanford.edu/entries/anselm/" TargetMode="External"/><Relationship Id="rId95" Type="http://schemas.openxmlformats.org/officeDocument/2006/relationships/hyperlink" Target="https://plato.stanford.edu/entries/divine-simplicity/" TargetMode="External"/><Relationship Id="rId91" Type="http://schemas.openxmlformats.org/officeDocument/2006/relationships/hyperlink" Target="https://plato.stanford.edu/entries/duns-scotus/" TargetMode="External"/><Relationship Id="rId97" Type="http://schemas.openxmlformats.org/officeDocument/2006/relationships/hyperlink" Target="https://plato.stanford.edu/entries/omniscience/" TargetMode="External"/><Relationship Id="rId103" Type="http://schemas.openxmlformats.org/officeDocument/2006/relationships/hyperlink" Target="https://raw.githubusercontent.com/GITenberg/An-Essay-on-the-Development-of-Christian-Doctrine_35110/master/35110-0.txt" TargetMode="External"/><Relationship Id="rId87" Type="http://schemas.openxmlformats.org/officeDocument/2006/relationships/hyperlink" Target="https://raw.githubusercontent.com/GITenberg/Summa-Theologica-Part-I--Prima-Pars-From-the-Complete-American-Edition_17611/master/17611.txt" TargetMode="External"/><Relationship Id="rId99" Type="http://schemas.openxmlformats.org/officeDocument/2006/relationships/hyperlink" Target="https://raw.githubusercontent.com/GITenberg/The-City-of-God-Volume-I_45304/master/45304-h/45304-h.htm"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175" Type="http://schemas.openxmlformats.org/officeDocument/2006/relationships/hyperlink" Target="https://participation-6o4.pages.dev/" TargetMode="External"/><Relationship Id="rId75" Type="http://schemas.openxmlformats.org/officeDocument/2006/relationships/hyperlink" Target="https://participation-6o4.pages.dev/#freedom" TargetMode="External"/><Relationship Id="rId176" Type="http://schemas.openxmlformats.org/officeDocument/2006/relationships/hyperlink" Target="https://participation-6o4.pages.dev/beyond-participation/" TargetMode="External"/><Relationship Id="rId82" Type="http://schemas.openxmlformats.org/officeDocument/2006/relationships/hyperlink" Target="https://participation-6o4.pages.dev/beyond-participation/#agency" TargetMode="External"/><Relationship Id="rId74" Type="http://schemas.openxmlformats.org/officeDocument/2006/relationships/hyperlink" Target="https://participation-6o4.pages.dev/beyond-participation/#contingency" TargetMode="External"/><Relationship Id="rId67" Type="http://schemas.openxmlformats.org/officeDocument/2006/relationships/hyperlink" Target="https://participation-6o4.pages.dev/beyond-participation/#map" TargetMode="External"/><Relationship Id="rId66" Type="http://schemas.openxmlformats.org/officeDocument/2006/relationships/hyperlink" Target="https://participation-6o4.pages.dev/beyond-participation/#simplicity" TargetMode="External"/><Relationship Id="rId83" Type="http://schemas.openxmlformats.org/officeDocument/2006/relationships/hyperlink" Target="https://participation-6o4.pages.dev/beyond-participation/#specification" TargetMode="External"/><Relationship Id="rId177" Type="http://schemas.openxmlformats.org/officeDocument/2006/relationships/hyperlink" Target="https://participation-6o4.pages.dev/real-difference/" TargetMode="External"/><Relationship Id="rId84" Type="http://schemas.openxmlformats.org/officeDocument/2006/relationships/hyperlink" Target="https://participation-6o4.pages.dev/real-difference/#exercise" TargetMode="External"/><Relationship Id="rId59" Type="http://schemas.openxmlformats.org/officeDocument/2006/relationships/hyperlink" Target="https://participation-6o4.pages.dev/research/beyond-development.md" TargetMode="External"/><Relationship Id="rId57" Type="http://schemas.openxmlformats.org/officeDocument/2006/relationships/hyperlink" Target="https://participation-6o4.pages.dev/research/beyond-formal.md" TargetMode="External"/><Relationship Id="rId56" Type="http://schemas.openxmlformats.org/officeDocument/2006/relationships/hyperlink" Target="https://participation-6o4.pages.dev/research/beyond-report.md" TargetMode="External"/><Relationship Id="rId58" Type="http://schemas.openxmlformats.org/officeDocument/2006/relationships/hyperlink" Target="https://participation-6o4.pages.dev/research/beyond-sources.md" TargetMode="External"/><Relationship Id="rId101" Type="http://schemas.openxmlformats.org/officeDocument/2006/relationships/hyperlink" Target="https://participation-6o4.pages.dev/research/eastern-metaphysics.md" TargetMode="External"/><Relationship Id="rId137" Type="http://schemas.openxmlformats.org/officeDocument/2006/relationships/hyperlink" Target="https://participation-6o4.pages.dev/research/formal-architecture.md" TargetMode="External"/><Relationship Id="rId150" Type="http://schemas.openxmlformats.org/officeDocument/2006/relationships/hyperlink" Target="https://participation-6o4.pages.dev/research/latin-exemplarism.md" TargetMode="External"/><Relationship Id="rId20" Type="http://schemas.openxmlformats.org/officeDocument/2006/relationships/hyperlink" Target="https://participation-6o4.pages.dev/research/reading-guide.md" TargetMode="External"/><Relationship Id="rId93" Type="http://schemas.openxmlformats.org/officeDocument/2006/relationships/hyperlink" Target="https://plato.stanford.edu/entries/anselm/" TargetMode="External"/><Relationship Id="rId95" Type="http://schemas.openxmlformats.org/officeDocument/2006/relationships/hyperlink" Target="https://plato.stanford.edu/entries/divine-simplicity/" TargetMode="External"/><Relationship Id="rId91" Type="http://schemas.openxmlformats.org/officeDocument/2006/relationships/hyperlink" Target="https://plato.stanford.edu/entries/duns-scotus/" TargetMode="External"/><Relationship Id="rId97" Type="http://schemas.openxmlformats.org/officeDocument/2006/relationships/hyperlink" Target="https://plato.stanford.edu/entries/omniscience/" TargetMode="External"/><Relationship Id="rId103" Type="http://schemas.openxmlformats.org/officeDocument/2006/relationships/hyperlink" Target="https://raw.githubusercontent.com/GITenberg/An-Essay-on-the-Development-of-Christian-Doctrine_35110/master/35110-0.txt" TargetMode="External"/><Relationship Id="rId87" Type="http://schemas.openxmlformats.org/officeDocument/2006/relationships/hyperlink" Target="https://raw.githubusercontent.com/GITenberg/Summa-Theologica-Part-I--Prima-Pars-From-the-Complete-American-Edition_17611/master/17611.txt" TargetMode="External"/><Relationship Id="rId99" Type="http://schemas.openxmlformats.org/officeDocument/2006/relationships/hyperlink" Target="https://raw.githubusercontent.com/GITenberg/The-City-of-God-Volume-I_45304/master/45304-h/45304-h.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Participation: Divine Simplicity and Freedom</dc:title>
  <dc:creator>Participation research atlas</dc:creator>
  <dc:language>en-US</dc:language>
  <cp:keywords>participation; divine agency; simplicity; free creation; complete backup</cp:keywords>
  <dcterms:created xsi:type="dcterms:W3CDTF">2026-10-14T14:15:54Z</dcterms:created>
  <dcterms:modified xsi:type="dcterms:W3CDTF">2026-10-14T14:15:54Z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14, 2026</vt:lpwstr>
  </property>
  <property fmtid="{D5CDD505-2E9C-101B-9397-08002B2CF9AE}" pid="3" name="subtitle">
    <vt:lpwstr>Divine Simplicity and Freedom | Complete website backup</vt:lpwstr>
  </property>
</Properties>
</file>