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Participation</w:t>
      </w:r>
    </w:p>
    <w:p>
      <w:pPr>
        <w:pStyle w:val="Subtitle"/>
      </w:pPr>
      <w:r>
        <w:t xml:space="preserve">The Minimal Generative Grammar of Participation | Complete website backup</w:t>
      </w:r>
    </w:p>
    <w:p>
      <w:pPr>
        <w:pStyle w:val="Date"/>
      </w:pPr>
      <w:r>
        <w:t xml:space="preserve">October 14, 2026</w:t>
      </w:r>
    </w:p>
    <w:p>
      <w:pPr>
        <w:pStyle w:val="Heading1"/>
      </w:pPr>
      <w:r>
        <w:t xml:space="preserve">Contents</w:t>
      </w:r>
    </w:p>
    <w:p>
      <w:pPr>
        <w:pStyle w:val="FirstParagraph"/>
      </w:pPr>
      <w:r>
        <w:t xml:space="preserve">How to use this backup</w:t>
      </w:r>
    </w:p>
    <w:p>
      <w:pPr>
        <w:pStyle w:val="BodyText"/>
      </w:pPr>
      <w:r>
        <w:t xml:space="preserve">Website article</w:t>
      </w:r>
    </w:p>
    <w:p>
      <w:pPr>
        <w:pStyle w:val="BodyText"/>
      </w:pPr>
      <w:r>
        <w:t xml:space="preserve">Interactive material — complete static record</w:t>
      </w:r>
    </w:p>
    <w:p>
      <w:pPr>
        <w:pStyle w:val="BodyText"/>
      </w:pPr>
      <w:r>
        <w:t xml:space="preserve">Appendix A — report.md</w:t>
      </w:r>
    </w:p>
    <w:p>
      <w:pPr>
        <w:pStyle w:val="BodyText"/>
      </w:pPr>
      <w:r>
        <w:t xml:space="preserve">Appendix B — formal-architecture.md</w:t>
      </w:r>
    </w:p>
    <w:p>
      <w:pPr>
        <w:pStyle w:val="BodyText"/>
      </w:pPr>
      <w:r>
        <w:t xml:space="preserve">Appendix C — ancient-patristic.md</w:t>
      </w:r>
    </w:p>
    <w:p>
      <w:pPr>
        <w:pStyle w:val="BodyText"/>
      </w:pPr>
      <w:r>
        <w:t xml:space="preserve">Appendix D — eastern-metaphysics.md</w:t>
      </w:r>
    </w:p>
    <w:p>
      <w:pPr>
        <w:pStyle w:val="BodyText"/>
      </w:pPr>
      <w:r>
        <w:t xml:space="preserve">Appendix E — latin-exemplarism.md</w:t>
      </w:r>
    </w:p>
    <w:p>
      <w:pPr>
        <w:pStyle w:val="BodyText"/>
      </w:pPr>
      <w:r>
        <w:t xml:space="preserve">Appendix F — aquinas-scotus-newman.md</w:t>
      </w:r>
    </w:p>
    <w:p>
      <w:pPr>
        <w:pStyle w:val="BodyText"/>
      </w:pPr>
      <w:r>
        <w:t xml:space="preserve">Appendix G — reading-guide.md</w:t>
      </w:r>
    </w:p>
    <w:p>
      <w:pPr>
        <w:pStyle w:val="Heading1"/>
      </w:pPr>
      <w:r>
        <w:t xml:space="preserve">How to use this backup</w:t>
      </w:r>
    </w:p>
    <w:p>
      <w:pPr>
        <w:pStyle w:val="FirstParagraph"/>
      </w:pPr>
      <w:r>
        <w:t xml:space="preserve">This document preserves the complete readable website article, all substantive interactive examples, and its project research files. It uses the revised terminology about divine action and agency. The website’s historical consultation limits and conditional claims are retained throughout.</w:t>
      </w:r>
    </w:p>
    <w:p>
      <w:pPr>
        <w:pStyle w:val="BodyText"/>
      </w:pPr>
      <w:r>
        <w:t xml:space="preserve">Original page: https:/​/​participation-​6o4.​pages.​dev/​</w:t>
      </w:r>
    </w:p>
    <w:p>
      <w:pPr>
        <w:pStyle w:val="BodyText"/>
      </w:pPr>
      <w:r>
        <w:t xml:space="preserve">Backup snapshot: October 14, 2026 (America/Los_Angeles). The interactive controls are represented by complete static explanations; this document can be read without the website.</w:t>
      </w:r>
    </w:p>
    <w:p>
      <w:pPr>
        <w:pStyle w:val="Heading1"/>
      </w:pPr>
      <w:r>
        <w:t xml:space="preserve">Website article</w:t>
      </w:r>
    </w:p>
    <w:p>
      <w:pPr>
        <w:pStyle w:val="FirstParagraph"/>
      </w:pPr>
      <w:r>
        <w:t xml:space="preserve">METAPHYSICS / CHRISTIAN TRADITION / FIRST PRINCIPLES</w:t>
      </w:r>
    </w:p>
    <w:p>
      <w:pPr>
        <w:pStyle w:val="BodyText"/>
      </w:pPr>
      <w:r>
        <w:rPr>
          <w:b/>
          <w:bCs/>
        </w:rPr>
        <w:t xml:space="preserve">From God.Like God.Still other.</w:t>
      </w:r>
    </w:p>
    <w:p>
      <w:pPr>
        <w:pStyle w:val="BodyText"/>
      </w:pPr>
      <w:r>
        <w:t xml:space="preserve">How can finite actuality truly express its source without becoming a piece of it?</w:t>
      </w:r>
    </w:p>
    <w:p>
      <w:pPr>
        <w:pStyle w:val="BodyText"/>
      </w:pPr>
      <w:r>
        <w:t xml:space="preserve">Diagram: Arrows of dependence connect three finite expressions to an unreceived source. The source is not a part of the expressions. Positions are diagrammatic, not spatial claims about God.</w:t>
      </w:r>
    </w:p>
    <w:p>
      <w:pPr>
        <w:pStyle w:val="BodyText"/>
      </w:pPr>
      <w:r>
        <w:t xml:space="preserve">Dependence is not a spatial interval.</w:t>
      </w:r>
      <w:r>
        <w:br/>
      </w:r>
      <w:r>
        <w:t xml:space="preserve">Shared perfection is not shared substance.</w:t>
      </w:r>
    </w:p>
    <w:p>
      <w:pPr>
        <w:pStyle w:val="BodyText"/>
      </w:pPr>
      <w:r>
        <w:t xml:space="preserve">00 / WHAT THIS PAGE IS</w:t>
      </w:r>
    </w:p>
    <w:bookmarkStart w:id="20" w:name="Xf5df08ae54450661e1e5b1efab3be0044c38419"/>
    <w:p>
      <w:pPr>
        <w:pStyle w:val="Heading2"/>
      </w:pPr>
      <w:r>
        <w:t xml:space="preserve">A constructive reconstruction of participation metaphysics</w:t>
      </w:r>
    </w:p>
    <w:p>
      <w:pPr>
        <w:pStyle w:val="FirstParagraph"/>
      </w:pPr>
      <w:r>
        <w:t xml:space="preserve">This page asks a deliberately narrow question: what is the smallest honest metaphysical grammar needed to explain how a finite creature can be from God, genuinely like God, and yet remain genuinely other than God?</w:t>
      </w:r>
    </w:p>
    <w:bookmarkEnd w:id="20"/>
    <w:p>
      <w:pPr>
        <w:pStyle w:val="BodyText"/>
      </w:pPr>
      <w:r>
        <w:t xml:space="preserve">A creature can receive its life and genuinely live it. A power can be given and genuinely belong to the one who exercises it. Christian participation metaphysics begins with that conjunction: real possession without independence. Created being, goodness, life, intelligibility, and power come from God, yet creatures are not pieces of God. Their actuality is received according to their own modes; the divine source is neither divided among them nor completed by them.</w:t>
      </w:r>
    </w:p>
    <w:p>
      <w:pPr>
        <w:pStyle w:val="BodyText"/>
      </w:pPr>
      <w:r>
        <w:t xml:space="preserve">The problem is to explain this conjunction rather than repeat it. Participation, analogy, exemplarism, procession, likeness, and return often carry several claims together. This inquiry separates them: what makes a creature actual, what it depends upon, what it genuinely possesses, what it consists of, what it can express, and what would fulfill it. It then asks what warrants each passage. Participation is the connective relation, not a substitute for those arguments.</w:t>
      </w:r>
    </w:p>
    <w:p>
      <w:pPr>
        <w:pStyle w:val="BodyText"/>
      </w:pPr>
      <w:r>
        <w:t xml:space="preserve">The initial hypothesis was that actuality, received dependence, and measure might be sufficient. The proposed reconstruction needs more. Dependence alone does not establish likeness. Underivation excludes proper intrinsic constituents only when composition entails dependence. A finite effect’s inability to exhaust an unlimited source does not establish that the source was free not to produce it. Identifying these missing bridges makes the account stronger: every conclusion receives its own reason rather than borrowing the force of another.</w:t>
      </w:r>
    </w:p>
    <w:p>
      <w:pPr>
        <w:pStyle w:val="BodyText"/>
      </w:pPr>
      <w:r>
        <w:t xml:space="preserve">The resulting grammar is “minimal” within its stated language and assumptions. Combining many axioms into one enormous axiom would shorten the list without shortening the argument. Each retained premise must contribute something the others do not supply. Removing a premise and testing rival models therefore play a central role. If likeness disappears when causal adequacy is removed, causation was never enough to establish likeness. If noncomposition disappears when the principle connecting constitution to dependence is removed, underivation was never secretly simplicity. If freedom disappears while non-exhaustion remains, inexhaustibility was never secretly freedom.</w:t>
      </w:r>
    </w:p>
    <w:p>
      <w:pPr>
        <w:pStyle w:val="BodyText"/>
      </w:pPr>
      <w:r>
        <w:t xml:space="preserve">The historical tradition is used in the same disciplined way. Plato, Gregory of Nyssa, Augustine, Dionysius, Maximus, Eriugena, Anselm, Bonaventure, Aquinas, Scotus, Przywara, and others are not treated as teaching one identical hidden system. They offer overlapping solutions to recurring problems: participation without partition, likeness without identity, causal intimacy without constitution, transcendence without distance, manifestation without exhaustion, and dependence without rivalry. The constructive synthesis belongs to this project, even where its elements are deeply rooted in the tradition. Newman’s account of development is used only analogically, as a test of whether the synthesis preserves rather than reverses the tradition’s central achievements.</w:t>
      </w:r>
    </w:p>
    <w:p>
      <w:pPr>
        <w:pStyle w:val="BodyText"/>
      </w:pPr>
      <w:r>
        <w:t xml:space="preserve">As a Christian interpretation, the project preserves Creator–creature distinction, creation without divine material, divine sufficiency, real creaturely goodness, and real divine causality. Philosophy asks how these commitments can be articulated coherently and which arguments support them. Revelation supplies further determinations: ordinary participation in created being does not by itself establish grace, the Trinity, the Incarnation, or beatific communion.</w:t>
      </w:r>
    </w:p>
    <w:p>
      <w:pPr>
        <w:pStyle w:val="BodyText"/>
      </w:pPr>
      <w:r>
        <w:rPr>
          <w:b/>
          <w:bCs/>
        </w:rPr>
        <w:t xml:space="preserve">The methodological rule.</w:t>
      </w:r>
      <w:r>
        <w:t xml:space="preserve"> </w:t>
      </w:r>
      <w:r>
        <w:t xml:space="preserve">Keep the categories apart long enough to discover why they belong together.</w:t>
      </w:r>
    </w:p>
    <w:p>
      <w:pPr>
        <w:pStyle w:val="BodyText"/>
      </w:pPr>
      <w:r>
        <w:t xml:space="preserve">Given the stated source and causal principles, a finite being can genuinely possess received actuality and express its source according to its own mode, while the source remains undivided and uncompleted. Dependence explains the gift; it does not make the recipient’s life less real.</w:t>
      </w:r>
    </w:p>
    <w:p>
      <w:pPr>
        <w:pStyle w:val="BodyText"/>
      </w:pPr>
      <w:r>
        <w:t xml:space="preserve">The receiver’s measure measures the reception. It does not measure the source.</w:t>
      </w:r>
    </w:p>
    <w:bookmarkStart w:id="21" w:name="the-next-open-question"/>
    <w:p>
      <w:pPr>
        <w:pStyle w:val="Heading3"/>
      </w:pPr>
      <w:r>
        <w:t xml:space="preserve">The next open question</w:t>
      </w:r>
    </w:p>
    <w:p>
      <w:pPr>
        <w:pStyle w:val="FirstParagraph"/>
      </w:pPr>
      <w:r>
        <w:t xml:space="preserve">The next question concerns divine agency: how can God freely and knowingly create this world rather than another without acquiring an intrinsic determination? This reconstruction already excludes proper intrinsic constituents, given an underived source and the principle that a whole depends on such constituents. It does not establish every stronger account of divine simplicity or explain free creative action. Further work must defend the relevant principles and explain how divine action has a determinate intention and how God knows it, without building freedom or knowledge into their definitions.</w:t>
      </w:r>
    </w:p>
    <w:bookmarkEnd w:id="21"/>
    <w:p>
      <w:pPr>
        <w:pStyle w:val="BodyText"/>
      </w:pPr>
      <w:r>
        <w:t xml:space="preserve">A constructive proposal with conditional derivations and provisional historical verification; not a proof of global minimality or a definition of doctrine.</w:t>
      </w:r>
    </w:p>
    <w:bookmarkStart w:id="22" w:name="how-to-read-this-page"/>
    <w:p>
      <w:pPr>
        <w:pStyle w:val="Heading3"/>
      </w:pPr>
      <w:r>
        <w:t xml:space="preserve">How to read this page</w:t>
      </w:r>
    </w:p>
    <w:p>
      <w:pPr>
        <w:pStyle w:val="FirstParagraph"/>
      </w:pPr>
      <w:r>
        <w:t xml:space="preserve">Begin with received possession and the positive meaning of finite measure. Then read the basis and derivations, and use the deletion lab to test each premise. The genealogy and source ledger distinguish historical resources from this project’s constructive proposals.</w:t>
      </w:r>
    </w:p>
    <w:bookmarkEnd w:id="22"/>
    <w:p>
      <w:pPr>
        <w:pStyle w:val="BodyText"/>
      </w:pPr>
      <w:r>
        <w:t xml:space="preserve">01 / THE VERDICT</w:t>
      </w:r>
    </w:p>
    <w:bookmarkStart w:id="23" w:name="X260d38e316c9849aa59a4251e1cc55898df2d8c"/>
    <w:p>
      <w:pPr>
        <w:pStyle w:val="Heading2"/>
      </w:pPr>
      <w:r>
        <w:t xml:space="preserve">A small grammar.</w:t>
      </w:r>
      <w:r>
        <w:br/>
      </w:r>
      <w:r>
        <w:t xml:space="preserve">A larger burden of proof.</w:t>
      </w:r>
    </w:p>
    <w:p>
      <w:pPr>
        <w:pStyle w:val="FirstParagraph"/>
      </w:pPr>
      <w:r>
        <w:t xml:space="preserve">Actuality, received dependence, and measure are not sufficient. They cannot establish likeness, exclude God as a constituent of creatures, or establish free creation without additional premises.</w:t>
      </w:r>
    </w:p>
    <w:bookmarkEnd w:id="23"/>
    <w:p>
      <w:pPr>
        <w:pStyle w:val="BodyText"/>
      </w:pPr>
      <w:r>
        <w:t xml:space="preserve">The smallest proposed result here is a</w:t>
      </w:r>
      <w:r>
        <w:t xml:space="preserve"> </w:t>
      </w:r>
      <w:r>
        <w:rPr>
          <w:i/>
          <w:iCs/>
        </w:rPr>
        <w:t xml:space="preserve">conditional, vocabulary-relative reconstruction</w:t>
      </w:r>
      <w:r>
        <w:t xml:space="preserve">—five basic groups of concepts, nine distinct assumptions, and stated additional premises where a conclusion requires them.</w:t>
      </w:r>
    </w:p>
    <w:p>
      <w:pPr>
        <w:pStyle w:val="BodyText"/>
      </w:pPr>
      <w:r>
        <w:t xml:space="preserve">01 / THE CAUSAL GAP</w:t>
      </w:r>
    </w:p>
    <w:bookmarkStart w:id="24" w:name="from-does-not-yet-mean-like."/>
    <w:p>
      <w:pPr>
        <w:pStyle w:val="Heading3"/>
      </w:pPr>
      <w:r>
        <w:t xml:space="preserve">From does not yet mean like.</w:t>
      </w:r>
    </w:p>
    <w:p>
      <w:pPr>
        <w:pStyle w:val="FirstParagraph"/>
      </w:pPr>
      <w:r>
        <w:t xml:space="preserve">Dependence does not entail corresponding perfection. A principle of causal adequacy must explain why an effect genuinely resembles its source.</w:t>
      </w:r>
    </w:p>
    <w:p>
      <w:pPr>
        <w:pStyle w:val="BodyText"/>
      </w:pPr>
      <w:r>
        <w:t xml:space="preserve">02 / THE CONSTITUTIVE GAP</w:t>
      </w:r>
    </w:p>
    <w:bookmarkEnd w:id="24"/>
    <w:bookmarkStart w:id="25" w:name="uncaused-does-not-yet-mean-partless."/>
    <w:p>
      <w:pPr>
        <w:pStyle w:val="Heading3"/>
      </w:pPr>
      <w:r>
        <w:t xml:space="preserve">Uncaused does not yet mean partless.</w:t>
      </w:r>
    </w:p>
    <w:p>
      <w:pPr>
        <w:pStyle w:val="FirstParagraph"/>
      </w:pPr>
      <w:r>
        <w:t xml:space="preserve">An underived source lacks composition only if a whole depends on its constituents. A simple source could still be a constituent of something else.</w:t>
      </w:r>
    </w:p>
    <w:p>
      <w:pPr>
        <w:pStyle w:val="BodyText"/>
      </w:pPr>
      <w:r>
        <w:t xml:space="preserve">03 / THE MODAL GAP</w:t>
      </w:r>
    </w:p>
    <w:bookmarkEnd w:id="25"/>
    <w:bookmarkStart w:id="26" w:name="inexhaustible-does-not-yet-mean-free."/>
    <w:p>
      <w:pPr>
        <w:pStyle w:val="Heading3"/>
      </w:pPr>
      <w:r>
        <w:t xml:space="preserve">Inexhaustible does not yet mean free.</w:t>
      </w:r>
    </w:p>
    <w:p>
      <w:pPr>
        <w:pStyle w:val="FirstParagraph"/>
      </w:pPr>
      <w:r>
        <w:t xml:space="preserve">No finite expression measures an unlimited source. That inequality does not produce another possible world.</w:t>
      </w:r>
    </w:p>
    <w:bookmarkEnd w:id="26"/>
    <w:p>
      <w:pPr>
        <w:pStyle w:val="BodyText"/>
      </w:pPr>
      <w:r>
        <w:rPr>
          <w:b/>
          <w:bCs/>
        </w:rPr>
        <w:t xml:space="preserve">What “minimal” means.</w:t>
      </w:r>
      <w:r>
        <w:t xml:space="preserve"> </w:t>
      </w:r>
      <w:r>
        <w:t xml:space="preserve">Relative irredundancy in an explicit language and interpretation. It is not a proof of the globally smallest possible metaphysics: conjunction can turn nine axioms into one, and richer predicates can conceal them in definitions. The accompanying formal dossier supplies witness assignments; it does not establish philosophical truth by computation.</w:t>
      </w:r>
    </w:p>
    <w:p>
      <w:pPr>
        <w:pStyle w:val="BodyText"/>
      </w:pPr>
      <w:r>
        <w:t xml:space="preserve">This is a substantive provisional synthesis. Selected primary texts and archived scholarship were consulted; the source ledger distinguishes them from unconsulted critical editions and specialist works. The historical survey is broad, but not fully source-verified.</w:t>
      </w:r>
    </w:p>
    <w:p>
      <w:pPr>
        <w:pStyle w:val="BodyText"/>
      </w:pPr>
      <w:r>
        <w:t xml:space="preserve">PARTICIPATION / THE CONNECTIVE RELATION</w:t>
      </w:r>
    </w:p>
    <w:bookmarkStart w:id="27" w:name="X69479be60f12318e084f36b3c5d0b055292fcee"/>
    <w:p>
      <w:pPr>
        <w:pStyle w:val="Heading2"/>
      </w:pPr>
      <w:r>
        <w:t xml:space="preserve">Received possession.</w:t>
      </w:r>
      <w:r>
        <w:br/>
      </w:r>
      <w:r>
        <w:t xml:space="preserve">Real creaturely life.</w:t>
      </w:r>
    </w:p>
    <w:p>
      <w:pPr>
        <w:pStyle w:val="FirstParagraph"/>
      </w:pPr>
      <w:r>
        <w:t xml:space="preserve">Participation connects realization, dependence, agency, manifestation, and fulfillment. Each connection needs its own warrant.</w:t>
      </w:r>
    </w:p>
    <w:bookmarkEnd w:id="27"/>
    <w:bookmarkStart w:id="28" w:name="Xa3e00fc19199bcce50dcca2843fc67b268668c2"/>
    <w:p>
      <w:pPr>
        <w:pStyle w:val="Heading3"/>
      </w:pPr>
      <w:r>
        <w:t xml:space="preserve">A received life is genuinely the creature’s life</w:t>
      </w:r>
    </w:p>
    <w:p>
      <w:pPr>
        <w:pStyle w:val="FirstParagraph"/>
      </w:pPr>
      <w:r>
        <w:t xml:space="preserve">Participation means real, dependent possession of received actuality or perfection according to the participant’s mode. Real possession matters as much as dependence: the creature actually lives, understands, and acts. What comes from a source is realized in the recipient; it is not merely a description of the source projected onto an otherwise empty appearance. Dependence concerns why the perfection obtains. Possession concerns where and how it obtains. These questions can have different answers without contradiction.</w:t>
      </w:r>
    </w:p>
    <w:p>
      <w:pPr>
        <w:pStyle w:val="BodyText"/>
      </w:pPr>
      <w:r>
        <w:t xml:space="preserve">Receiving a power does not yet amount to exercising it. To establish genuine creaturely action, add a further principle: some received powers are productive powers of the creature itself, whose exercise remains sustained by God. Divine causality and creaturely causality then explain one event in different respects. The creature’s dependence does not erase its authorship. An occasionalist rival denies this further principle, so real secondary agency must be defended rather than extracted from the word participation.</w:t>
      </w:r>
    </w:p>
    <w:bookmarkEnd w:id="28"/>
    <w:bookmarkStart w:id="29" w:name="X3b79179a33f2f61a6186aa4d4830b778f902a29"/>
    <w:p>
      <w:pPr>
        <w:pStyle w:val="Heading3"/>
      </w:pPr>
      <w:r>
        <w:t xml:space="preserve">Expression needs intelligible correspondence</w:t>
      </w:r>
    </w:p>
    <w:p>
      <w:pPr>
        <w:pStyle w:val="FirstParagraph"/>
      </w:pPr>
      <w:r>
        <w:t xml:space="preserve">An effect can disclose its source because the relation connects what is realized in the effect with something true of that source. Mere production does not establish every proposed attribution. A machine can print meaningful words without understanding them. An artisan can shape stone without being stone. An effect may therefore establish causal capacity while leaving intrinsic perfection, intention, or personal character undecided.</w:t>
      </w:r>
    </w:p>
    <w:p>
      <w:pPr>
        <w:pStyle w:val="BodyText"/>
      </w:pPr>
      <w:r>
        <w:t xml:space="preserve">The positive bridge proposed here is stronger: a genuine perfection in a derivative effect has an adequate ultimate source in which the corresponding positive content genuinely obtains, though not necessarily under the effect’s received mode. This is Q, the causal-adequacy principle. It requires an account of the positive content, not just the claim that the source can cause it. Exemplarism and the tradition of the logoi offer historical accounts of this source-related intelligibility. Their exact metaphysical commitments still require comparison.</w:t>
      </w:r>
    </w:p>
    <w:p>
      <w:pPr>
        <w:pStyle w:val="BodyText"/>
      </w:pPr>
      <w:r>
        <w:t xml:space="preserve">Under Q, participation can become objective expression even when nobody recognizes it. Recognition is another achievement: knowledge requires a truth-conducive relation and warranted uptake. Thus causal origin, expressive likeness, and warranted knowledge remain distinct. This lets the account affirm genuine manifestation while identifying exactly what a finite effect permits us to say.</w:t>
      </w:r>
    </w:p>
    <w:bookmarkEnd w:id="29"/>
    <w:bookmarkStart w:id="30" w:name="Xdfc8e9b12f2385346fd26d8ecefe382095e3b14"/>
    <w:p>
      <w:pPr>
        <w:pStyle w:val="Heading3"/>
      </w:pPr>
      <w:r>
        <w:t xml:space="preserve">Finite measure can help constitute a good</w:t>
      </w:r>
    </w:p>
    <w:p>
      <w:pPr>
        <w:pStyle w:val="FirstParagraph"/>
      </w:pPr>
      <w:r>
        <w:t xml:space="preserve">Finite reception does not exhaust an unlimited source. Yet finitude is not a single defect to be removed from every creaturely good. Three cases matter. A privation, such as ignorance, impedes an appropriate good. A constitutive finite condition helps make a particular good what it is: a melody needs succession, and a promise needs a history in which fidelity can be enacted. Removing distortion can improve the same melody; sounding every note at once abolishes it.</w:t>
      </w:r>
    </w:p>
    <w:p>
      <w:pPr>
        <w:pStyle w:val="BodyText"/>
      </w:pPr>
      <w:r>
        <w:t xml:space="preserve">An adverse occasion is different again. Courage can be good in danger, and forgiveness can be good after injury. The goodness of the response neither makes the threat or injury good nor justifies causing it. A theory of fulfillment must preserve the response’s positive actuality while refusing to manufacture a justification of evil from it.</w:t>
      </w:r>
    </w:p>
    <w:p>
      <w:pPr>
        <w:pStyle w:val="BodyText"/>
      </w:pPr>
      <w:r>
        <w:t xml:space="preserve">God can ground the positive reality of learning without learning, and the good of courage without undergoing danger. The entire finite description need not be transferred to its source. Likewise, finite knowledge need not be false or vague. A finite proposition can state something exactly true without reproducing the whole actuality of its object. The measure comparison in this model concerns finite reception of actuality; it is not a proof that every finite statement is inadequate.</w:t>
      </w:r>
    </w:p>
    <w:bookmarkEnd w:id="30"/>
    <w:bookmarkStart w:id="31" w:name="fulfillment-preserves-the-participant"/>
    <w:p>
      <w:pPr>
        <w:pStyle w:val="Heading3"/>
      </w:pPr>
      <w:r>
        <w:t xml:space="preserve">Fulfillment preserves the participant</w:t>
      </w:r>
    </w:p>
    <w:p>
      <w:pPr>
        <w:pStyle w:val="FirstParagraph"/>
      </w:pPr>
      <w:r>
        <w:t xml:space="preserve">Origin answers why a participant is; fulfillment asks what would perfect it. The second question requires an account of the subject’s good. Participation becomes ordered toward fulfillment when received powers can attain fitting ends, rather than merely continue to exist. Knowledge, fidelity, friendship, and love can then be real creaturely achievements. Their dependence on God does not relocate their history inside God or make them stages in divine self-completion.</w:t>
      </w:r>
    </w:p>
    <w:p>
      <w:pPr>
        <w:pStyle w:val="BodyText"/>
      </w:pPr>
      <w:r>
        <w:t xml:space="preserve">Communion adds more than resemblance or causal contact: distinct persons know and love one another. Its reality requires their difference to endure. The Christian account of grace and beatific vision therefore extends the natural grammar with revealed commitments. It promises God himself, not merely a created substitute, while preserving the creature’s finite act of reception. Finite measure need not mean distance, and immediacy need not mean exhaustive comprehension. Return is the participant’s fulfillment without absorption into its source.</w:t>
      </w:r>
    </w:p>
    <w:bookmarkEnd w:id="31"/>
    <w:p>
      <w:pPr>
        <w:pStyle w:val="BodyText"/>
      </w:pPr>
      <w:r>
        <w:rPr>
          <w:b/>
          <w:bCs/>
        </w:rPr>
        <w:t xml:space="preserve">The five working engines are analytical jobs.</w:t>
      </w:r>
      <w:r>
        <w:t xml:space="preserve"> </w:t>
      </w:r>
      <w:r>
        <w:t xml:space="preserve">Determination–Realization asks what is actual and what realizes a difference. Dependence–Origin asks what explains it. Possibility–Agency asks what could differ and how an agent acts. Manifestation–Measure asks what is disclosed and with what warrant. Goodness–Fulfillment asks what would perfect the subject. These jobs help audit the argument; they are not the five primitive groups of the formal model below.</w:t>
      </w:r>
    </w:p>
    <w:p>
      <w:pPr>
        <w:pStyle w:val="BodyText"/>
      </w:pPr>
      <w:hyperlink r:id="rId32">
        <w:r>
          <w:rPr>
            <w:rStyle w:val="Hyperlink"/>
          </w:rPr>
          <w:t xml:space="preserve">Read the shared guide to the three investigations →</w:t>
        </w:r>
      </w:hyperlink>
    </w:p>
    <w:p>
      <w:pPr>
        <w:pStyle w:val="BodyText"/>
      </w:pPr>
      <w:r>
        <w:t xml:space="preserve">02 / THE BASIS</w:t>
      </w:r>
    </w:p>
    <w:bookmarkStart w:id="33" w:name="keep-the-categories-apart."/>
    <w:p>
      <w:pPr>
        <w:pStyle w:val="Heading2"/>
      </w:pPr>
      <w:r>
        <w:t xml:space="preserve">Keep the categories apart.</w:t>
      </w:r>
    </w:p>
    <w:p>
      <w:pPr>
        <w:pStyle w:val="FirstParagraph"/>
      </w:pPr>
      <w:r>
        <w:t xml:space="preserve">Everything below is a modern constructive proposal. Historical texts supply constraints and resources; no author is credited with this formal system.</w:t>
      </w:r>
    </w:p>
    <w:bookmarkEnd w:id="33"/>
    <w:p>
      <w:pPr>
        <w:pStyle w:val="BodyText"/>
      </w:pPr>
      <w:r>
        <w:t xml:space="preserve">ONTOLOGICAL</w:t>
      </w:r>
      <w:r>
        <w:t xml:space="preserve">CAUSAL</w:t>
      </w:r>
      <w:r>
        <w:t xml:space="preserve">QUALITATIVE</w:t>
      </w:r>
      <w:r>
        <w:t xml:space="preserve">CONSTITUTIVE</w:t>
      </w:r>
      <w:r>
        <w:t xml:space="preserve">MODAL</w:t>
      </w:r>
    </w:p>
    <w:p>
      <w:pPr>
        <w:pStyle w:val="DefinitionTerm"/>
      </w:pPr>
      <w:r>
        <w:t xml:space="preserve">Cᵥ(y,x,q)</w:t>
      </w:r>
    </w:p>
    <w:p>
      <w:pPr>
        <w:pStyle w:val="Definition"/>
      </w:pPr>
      <w:r>
        <w:rPr>
          <w:b/>
          <w:bCs/>
        </w:rPr>
        <w:t xml:space="preserve">Productive causation.</w:t>
      </w:r>
      <w:r>
        <w:t xml:space="preserve"> </w:t>
      </w:r>
      <w:r>
        <w:t xml:space="preserve">y produces or sustains a real perfection q in x. Causing something remains distinct from being a constituent of it.</w:t>
      </w:r>
    </w:p>
    <w:p>
      <w:pPr>
        <w:pStyle w:val="DefinitionTerm"/>
      </w:pPr>
      <w:r>
        <w:t xml:space="preserve">Dᵥ(x,y,r)</w:t>
      </w:r>
    </w:p>
    <w:p>
      <w:pPr>
        <w:pStyle w:val="Definition"/>
      </w:pPr>
      <w:r>
        <w:rPr>
          <w:b/>
          <w:bCs/>
        </w:rPr>
        <w:t xml:space="preserve">Ontological dependence.</w:t>
      </w:r>
      <w:r>
        <w:t xml:space="preserve"> </w:t>
      </w:r>
      <w:r>
        <w:t xml:space="preserve">x depends on y for its actuality in respect r. This concerns what sustains or explains x, rather than merely what would happen if y were absent.</w:t>
      </w:r>
    </w:p>
    <w:p>
      <w:pPr>
        <w:pStyle w:val="DefinitionTerm"/>
      </w:pPr>
      <w:r>
        <w:t xml:space="preserve">Hᵥ(x,q,m)</w:t>
      </w:r>
    </w:p>
    <w:p>
      <w:pPr>
        <w:pStyle w:val="Definition"/>
      </w:pPr>
      <w:r>
        <w:rPr>
          <w:b/>
          <w:bCs/>
        </w:rPr>
        <w:t xml:space="preserve">Qualitative realization.</w:t>
      </w:r>
      <w:r>
        <w:t xml:space="preserve"> </w:t>
      </w:r>
      <w:r>
        <w:t xml:space="preserve">x really possesses a candidate positive perfection-content q in mode m. Selecting that content requires independent warrant; a complete finite-kind description is not automatically a pure perfection. Corresponding content does not mean a shared entity or genus.</w:t>
      </w:r>
    </w:p>
    <w:p>
      <w:pPr>
        <w:pStyle w:val="DefinitionTerm"/>
      </w:pPr>
      <w:r>
        <w:t xml:space="preserve">Kᵥ(z,x)</w:t>
      </w:r>
    </w:p>
    <w:p>
      <w:pPr>
        <w:pStyle w:val="Definition"/>
      </w:pPr>
      <w:r>
        <w:rPr>
          <w:b/>
          <w:bCs/>
        </w:rPr>
        <w:t xml:space="preserve">Intrinsic constituency.</w:t>
      </w:r>
      <w:r>
        <w:t xml:space="preserve"> </w:t>
      </w:r>
      <w:r>
        <w:t xml:space="preserve">z is a proper part or constituting principle within x. This distinguishes what x consists of from what causes it.</w:t>
      </w:r>
    </w:p>
    <w:p>
      <w:pPr>
        <w:pStyle w:val="DefinitionTerm"/>
      </w:pPr>
      <w:r>
        <w:t xml:space="preserve">Jᵥ(x)</w:t>
      </w:r>
    </w:p>
    <w:p>
      <w:pPr>
        <w:pStyle w:val="Definition"/>
      </w:pPr>
      <w:r>
        <w:rPr>
          <w:b/>
          <w:bCs/>
        </w:rPr>
        <w:t xml:space="preserve">Intrinsic actuality.</w:t>
      </w:r>
      <w:r>
        <w:t xml:space="preserve"> </w:t>
      </w:r>
      <w:r>
        <w:t xml:space="preserve">What x is in itself in possible situation w. This lets us ask whether different effects require a change within their source.</w:t>
      </w:r>
    </w:p>
    <w:p>
      <w:pPr>
        <w:pStyle w:val="FirstParagraph"/>
      </w:pPr>
      <w:r>
        <w:rPr>
          <w:b/>
          <w:bCs/>
        </w:rPr>
        <w:t xml:space="preserve">Disclosed background assumptions.</w:t>
      </w:r>
      <w:r>
        <w:t xml:space="preserve"> </w:t>
      </w:r>
      <w:r>
        <w:t xml:space="preserve">Identity, typed quantification, possible worlds, qualitative indices, and a mode-order with bounded values and ∞ are also used. C and D are factive; K is actual, irreflexive, and transitive; H has one complete mode per subject/respect. A(x) is</w:t>
      </w:r>
      <w:r>
        <w:t xml:space="preserve"> </w:t>
      </w:r>
      <w:r>
        <w:rPr>
          <w:i/>
          <w:iCs/>
        </w:rPr>
        <w:t xml:space="preserve">defined</w:t>
      </w:r>
      <w:r>
        <w:t xml:space="preserve"> </w:t>
      </w:r>
      <w:r>
        <w:t xml:space="preserve">as ∃m H(x,e,m), and μₑ(x) is that mode. Actuality remains semantically primitive in realization, not a sixth independent predicate. J records intrinsic facts not assumed exhausted by selected H/K facts; if that coverage were exhaustive, J could be eliminated. Nine counts substantive clauses relative to this background, not every assumption.</w:t>
      </w:r>
    </w:p>
    <w:p>
      <w:pPr>
        <w:pStyle w:val="BodyText"/>
      </w:pPr>
      <w:r>
        <w:t xml:space="preserve">The proposed account assumes an actual source g and scopes the domain to created beings/principles and their source. It does not prove God’s existence or necessity, model divine hypostases as additional created beings, or adjudicate Trinitarian distinctions, incarnation, or grace. Candidate “positive” contents must be warranted independently; shared q is not defined as “whatever God causes.”</w:t>
      </w:r>
    </w:p>
    <w:bookmarkStart w:id="34" w:name="nine-independently-motivated-clauses"/>
    <w:p>
      <w:pPr>
        <w:pStyle w:val="Heading3"/>
      </w:pPr>
      <w:r>
        <w:t xml:space="preserve">NINE INDEPENDENTLY MOTIVATED CLAUSES</w:t>
      </w:r>
    </w:p>
    <w:bookmarkEnd w:id="34"/>
    <w:bookmarkStart w:id="35" w:name="guniversal-sustaining-causality"/>
    <w:p>
      <w:pPr>
        <w:pStyle w:val="Heading3"/>
      </w:pPr>
      <w:r>
        <w:t xml:space="preserve">G</w:t>
      </w:r>
      <w:r>
        <w:t xml:space="preserve">Universal sustaining causality</w:t>
      </w:r>
    </w:p>
    <w:p>
      <w:pPr>
        <w:pStyle w:val="FirstParagraph"/>
      </w:pPr>
      <w:r>
        <w:t xml:space="preserve">The designated source g presently causes or sustains every other actual being and its positive perfections. This includes sustaining each creature’s existence.</w:t>
      </w:r>
    </w:p>
    <w:p>
      <w:pPr>
        <w:pStyle w:val="SourceCode"/>
      </w:pPr>
      <w:r>
        <w:rPr>
          <w:rStyle w:val="VerbatimChar"/>
        </w:rPr>
        <w:t xml:space="preserve">A(x) ∧ x ≠ g ∧ H(x,q,m) ⇒ C(g,x,q)</w:t>
      </w:r>
    </w:p>
    <w:p>
      <w:pPr>
        <w:pStyle w:val="FirstParagraph"/>
      </w:pPr>
      <w:r>
        <w:t xml:space="preserve">Conditional theological profile. Remove it: A genuinely actual creature with no source remains possible. Dependence “in every moment” cannot then be claimed.</w:t>
      </w:r>
    </w:p>
    <w:bookmarkEnd w:id="35"/>
    <w:bookmarkStart w:id="36" w:name="cpcausal-dependence"/>
    <w:p>
      <w:pPr>
        <w:pStyle w:val="Heading3"/>
      </w:pPr>
      <w:r>
        <w:t xml:space="preserve">CP</w:t>
      </w:r>
      <w:r>
        <w:t xml:space="preserve">Causal dependence</w:t>
      </w:r>
    </w:p>
    <w:p>
      <w:pPr>
        <w:pStyle w:val="FirstParagraph"/>
      </w:pPr>
      <w:r>
        <w:t xml:space="preserve">Productive or sustaining causation grounds an effect’s actuality in the relevant respect. This bridge is not silently packed into the word “cause.”</w:t>
      </w:r>
    </w:p>
    <w:p>
      <w:pPr>
        <w:pStyle w:val="SourceCode"/>
      </w:pPr>
      <w:r>
        <w:rPr>
          <w:rStyle w:val="VerbatimChar"/>
        </w:rPr>
        <w:t xml:space="preserve">C(y,x,q) ⇒ D(x,y,q)</w:t>
      </w:r>
    </w:p>
    <w:p>
      <w:pPr>
        <w:pStyle w:val="FirstParagraph"/>
      </w:pPr>
      <w:r>
        <w:t xml:space="preserve">Causal bridge. Remove it: Causal arrows can coexist with no ontological dependence. Production no longer establishes the Creator–creature interval.</w:t>
      </w:r>
    </w:p>
    <w:bookmarkEnd w:id="36"/>
    <w:bookmarkStart w:id="37" w:name="uthe-source-depends-on-nothing"/>
    <w:p>
      <w:pPr>
        <w:pStyle w:val="Heading3"/>
      </w:pPr>
      <w:r>
        <w:t xml:space="preserve">U</w:t>
      </w:r>
      <w:r>
        <w:t xml:space="preserve">The source depends on nothing</w:t>
      </w:r>
    </w:p>
    <w:p>
      <w:pPr>
        <w:pStyle w:val="FirstParagraph"/>
      </w:pPr>
      <w:r>
        <w:t xml:space="preserve">The designated source receives none of the actuality or perfection by which it is actual. This does not by itself say that it is infinite, simple, or existent.</w:t>
      </w:r>
    </w:p>
    <w:p>
      <w:pPr>
        <w:pStyle w:val="SourceCode"/>
      </w:pPr>
      <w:r>
        <w:rPr>
          <w:rStyle w:val="VerbatimChar"/>
        </w:rPr>
        <w:t xml:space="preserve">¬∃y,r D(g,y,r)</w:t>
      </w:r>
    </w:p>
    <w:p>
      <w:pPr>
        <w:pStyle w:val="FirstParagraph"/>
      </w:pPr>
      <w:r>
        <w:t xml:space="preserve">Conditional theological profile. Remove it: An unlimited source may itself depend upon another. A cycle of grounding or divine completion is admitted.</w:t>
      </w:r>
    </w:p>
    <w:bookmarkEnd w:id="37"/>
    <w:bookmarkStart w:id="38" w:name="qcausal-adequacy-of-the-ultimate-source"/>
    <w:p>
      <w:pPr>
        <w:pStyle w:val="Heading3"/>
      </w:pPr>
      <w:r>
        <w:t xml:space="preserve">Q</w:t>
      </w:r>
      <w:r>
        <w:t xml:space="preserve">Causal adequacy of the ultimate source</w:t>
      </w:r>
    </w:p>
    <w:p>
      <w:pPr>
        <w:pStyle w:val="FirstParagraph"/>
      </w:pPr>
      <w:r>
        <w:t xml:space="preserve">An independently identified positive perfection-content caused by the ultimate source has corresponding content in that source, under a potentially different mode. Both the selection of q and this possession bridge need argument. A complete finite-kind description is not transferred wholesale: causing learning does not imply learning. The principle does not apply to every instrumental cause, and must mean more than “can cause q.”</w:t>
      </w:r>
    </w:p>
    <w:p>
      <w:pPr>
        <w:pStyle w:val="SourceCode"/>
      </w:pPr>
      <w:r>
        <w:rPr>
          <w:rStyle w:val="VerbatimChar"/>
        </w:rPr>
        <w:t xml:space="preserve">C(g,x,q) ∧ H(x,q,m) ⇒ ∃n H(g,q,n)</w:t>
      </w:r>
    </w:p>
    <w:p>
      <w:pPr>
        <w:pStyle w:val="FirstParagraph"/>
      </w:pPr>
      <w:r>
        <w:t xml:space="preserve">Perfection bridge. Remove it: An actual causal source can produce the effect’s quality without possessing corresponding perfection. Likeness and manifestation disappear.</w:t>
      </w:r>
    </w:p>
    <w:bookmarkEnd w:id="38"/>
    <w:bookmarkStart w:id="39" w:name="kdcomposition-entails-dependence"/>
    <w:p>
      <w:pPr>
        <w:pStyle w:val="Heading3"/>
      </w:pPr>
      <w:r>
        <w:t xml:space="preserve">KD</w:t>
      </w:r>
      <w:r>
        <w:t xml:space="preserve">Composition entails dependence</w:t>
      </w:r>
    </w:p>
    <w:p>
      <w:pPr>
        <w:pStyle w:val="FirstParagraph"/>
      </w:pPr>
      <w:r>
        <w:t xml:space="preserve">A composite’s actuality depends upon its proper intrinsic constituents. Underivation plus this principle excludes composition of the source.</w:t>
      </w:r>
    </w:p>
    <w:p>
      <w:pPr>
        <w:pStyle w:val="SourceCode"/>
      </w:pPr>
      <w:r>
        <w:rPr>
          <w:rStyle w:val="VerbatimChar"/>
        </w:rPr>
        <w:t xml:space="preserve">K(z,x) ⇒ D(x,z,e)</w:t>
      </w:r>
    </w:p>
    <w:p>
      <w:pPr>
        <w:pStyle w:val="FirstParagraph"/>
      </w:pPr>
      <w:r>
        <w:t xml:space="preserve">Constitution bridge. Remove it: A composite source can simply be stipulated independent of its own intrinsic parts.</w:t>
      </w:r>
    </w:p>
    <w:bookmarkEnd w:id="39"/>
    <w:bookmarkStart w:id="40" w:name="khconstituents-do-not-exceed-the-whole"/>
    <w:p>
      <w:pPr>
        <w:pStyle w:val="Heading3"/>
      </w:pPr>
      <w:r>
        <w:t xml:space="preserve">KH</w:t>
      </w:r>
      <w:r>
        <w:t xml:space="preserve">Constituents do not exceed the whole</w:t>
      </w:r>
    </w:p>
    <w:p>
      <w:pPr>
        <w:pStyle w:val="FirstParagraph"/>
      </w:pPr>
      <w:r>
        <w:t xml:space="preserve">An intrinsic constituent cannot exceed the whole containing it in the relevant capacity for actuality. This goes beyond a theory of parts and wholes and must be defended independently.</w:t>
      </w:r>
    </w:p>
    <w:p>
      <w:pPr>
        <w:pStyle w:val="SourceCode"/>
      </w:pPr>
      <w:r>
        <w:rPr>
          <w:rStyle w:val="VerbatimChar"/>
        </w:rPr>
        <w:t xml:space="preserve">K(z,x) ⇒ μₑ(z) ≤ μₑ(x)</w:t>
      </w:r>
    </w:p>
    <w:p>
      <w:pPr>
        <w:pStyle w:val="FirstParagraph"/>
      </w:pPr>
      <w:r>
        <w:t xml:space="preserve">Mode / constitution bridge. Remove it: An unlimited source may be stipulated an intrinsic constituent of a finite creature.</w:t>
      </w:r>
    </w:p>
    <w:bookmarkEnd w:id="40"/>
    <w:bookmarkStart w:id="41" w:name="fsunbounded-source-actuality"/>
    <w:p>
      <w:pPr>
        <w:pStyle w:val="Heading3"/>
      </w:pPr>
      <w:r>
        <w:t xml:space="preserve">FS</w:t>
      </w:r>
      <w:r>
        <w:t xml:space="preserve">Unbounded source actuality</w:t>
      </w:r>
    </w:p>
    <w:p>
      <w:pPr>
        <w:pStyle w:val="FirstParagraph"/>
      </w:pPr>
      <w:r>
        <w:t xml:space="preserve">The source is unlimited in actuality. Underivation does not prove this. Unlimitedness in another perfection requires its own argument; adequacy alone supplies corresponding content, not an infinite degree.</w:t>
      </w:r>
    </w:p>
    <w:p>
      <w:pPr>
        <w:pStyle w:val="SourceCode"/>
      </w:pPr>
      <w:r>
        <w:rPr>
          <w:rStyle w:val="VerbatimChar"/>
        </w:rPr>
        <w:t xml:space="preserve">μₑ(g) = ∞</w:t>
      </w:r>
    </w:p>
    <w:p>
      <w:pPr>
        <w:pStyle w:val="FirstParagraph"/>
      </w:pPr>
      <w:r>
        <w:t xml:space="preserve">Conditional theological profile. Remove it: An underived, simple, finite source is possible; some finite expression can match its measure.</w:t>
      </w:r>
    </w:p>
    <w:bookmarkEnd w:id="41"/>
    <w:bookmarkStart w:id="42" w:name="fcbounded-created-actuality"/>
    <w:p>
      <w:pPr>
        <w:pStyle w:val="Heading3"/>
      </w:pPr>
      <w:r>
        <w:t xml:space="preserve">FC</w:t>
      </w:r>
      <w:r>
        <w:t xml:space="preserve">Bounded created actuality</w:t>
      </w:r>
    </w:p>
    <w:p>
      <w:pPr>
        <w:pStyle w:val="FirstParagraph"/>
      </w:pPr>
      <w:r>
        <w:t xml:space="preserve">Every actual other has a bounded mode of actuality. This is not a restriction on the source. “Bounded” is not a reduction of all perfections to a numerical quantity.</w:t>
      </w:r>
    </w:p>
    <w:p>
      <w:pPr>
        <w:pStyle w:val="SourceCode"/>
      </w:pPr>
      <w:r>
        <w:rPr>
          <w:rStyle w:val="VerbatimChar"/>
        </w:rPr>
        <w:t xml:space="preserve">A(x) ∧ x ≠ g ⇒ μₑ(x) &lt; ∞</w:t>
      </w:r>
    </w:p>
    <w:p>
      <w:pPr>
        <w:pStyle w:val="FirstParagraph"/>
      </w:pPr>
      <w:r>
        <w:t xml:space="preserve">Conditional theological profile. Remove it: An other can possess the source’s unlimited measure. Nonidentity survives, but finite non-exhaustion is lost.</w:t>
      </w:r>
    </w:p>
    <w:bookmarkEnd w:id="42"/>
    <w:bookmarkStart w:id="43" w:name="X0adcc51e8d4320848c410e50cc20025f47469cc"/>
    <w:p>
      <w:pPr>
        <w:pStyle w:val="Heading3"/>
      </w:pPr>
      <w:r>
        <w:t xml:space="preserve">X</w:t>
      </w:r>
      <w:r>
        <w:t xml:space="preserve">Unchanged source across creation alternatives</w:t>
      </w:r>
    </w:p>
    <w:p>
      <w:pPr>
        <w:pStyle w:val="FirstParagraph"/>
      </w:pPr>
      <w:r>
        <w:t xml:space="preserve">Differences in created effects do not constitute differences or gains in the source’s intrinsic actuality. Underivation at each world does not alone prove this comparison across worlds.</w:t>
      </w:r>
    </w:p>
    <w:p>
      <w:pPr>
        <w:pStyle w:val="SourceCode"/>
      </w:pPr>
      <w:r>
        <w:rPr>
          <w:rStyle w:val="VerbatimChar"/>
        </w:rPr>
        <w:t xml:space="preserve">Jᵥ(g) = Jᵥ′(g) for admissible creation alternatives</w:t>
      </w:r>
    </w:p>
    <w:p>
      <w:pPr>
        <w:pStyle w:val="FirstParagraph"/>
      </w:pPr>
      <w:r>
        <w:t xml:space="preserve">Modal / relational bridge. Remove it: Different created histories may be correlated with different intrinsic states of the source, without those effects grounding the source’s actuality within either possible world.</w:t>
      </w:r>
    </w:p>
    <w:bookmarkEnd w:id="43"/>
    <w:bookmarkStart w:id="44" w:name="X2c9b54832e076eeff7a4283694a2c8c69dfa1a6"/>
    <w:p>
      <w:pPr>
        <w:pStyle w:val="Heading3"/>
      </w:pPr>
      <w:r>
        <w:t xml:space="preserve">DEFINED TERMS — NO THEOREM INSIDE THE DEFINITION</w:t>
      </w:r>
    </w:p>
    <w:p>
      <w:pPr>
        <w:pStyle w:val="DefinitionTerm"/>
      </w:pPr>
      <w:r>
        <w:t xml:space="preserve">Rec(x,q,g)</w:t>
      </w:r>
    </w:p>
    <w:p>
      <w:pPr>
        <w:pStyle w:val="Definition"/>
      </w:pPr>
      <w:r>
        <w:t xml:space="preserve">C(g,x,q) ∧ ∃m H(x,q,m): a real perfection caused by g and genuinely possessed by x. Likeness is not assumed.</w:t>
      </w:r>
    </w:p>
    <w:p>
      <w:pPr>
        <w:pStyle w:val="DefinitionTerm"/>
      </w:pPr>
      <w:r>
        <w:t xml:space="preserve">P(x,g,q)</w:t>
      </w:r>
    </w:p>
    <w:p>
      <w:pPr>
        <w:pStyle w:val="Definition"/>
      </w:pPr>
      <w:r>
        <w:t xml:space="preserve">Rec(x,q,g) ∧ D(x,g,q): real, dependent possession in this causal model. Whether it also expresses the source depends on Q; agency and finality need further principles.</w:t>
      </w:r>
    </w:p>
    <w:p>
      <w:pPr>
        <w:pStyle w:val="DefinitionTerm"/>
      </w:pPr>
      <w:r>
        <w:t xml:space="preserve">L(x,g,q)</w:t>
      </w:r>
    </w:p>
    <w:p>
      <w:pPr>
        <w:pStyle w:val="Definition"/>
      </w:pPr>
      <w:r>
        <w:t xml:space="preserve">∃m,n [H(x,q,m) ∧ H(g,q,n)]: qualitative agreement. It does not encode equality of modes, identity, or a common genus.</w:t>
      </w:r>
    </w:p>
    <w:p>
      <w:pPr>
        <w:pStyle w:val="DefinitionTerm"/>
      </w:pPr>
      <w:r>
        <w:t xml:space="preserve">E(x,g,q)</w:t>
      </w:r>
    </w:p>
    <w:p>
      <w:pPr>
        <w:pStyle w:val="Definition"/>
      </w:pPr>
      <w:r>
        <w:t xml:space="preserve">P(x,g,q) ∧ L(x,g,q): objective causal expression in the model’s restricted sense. This combines received realization and corresponding source-content. It establishes neither an observer’s knowledge nor a particular divine message or intention.</w:t>
      </w:r>
    </w:p>
    <w:p>
      <w:pPr>
        <w:pStyle w:val="DefinitionTerm"/>
      </w:pPr>
      <w:r>
        <w:t xml:space="preserve">U(y)</w:t>
      </w:r>
    </w:p>
    <w:p>
      <w:pPr>
        <w:pStyle w:val="Definition"/>
      </w:pPr>
      <w:r>
        <w:t xml:space="preserve">¬∃z,r D(y,z,r): underivation. No infinity or simplicity is concealed here.</w:t>
      </w:r>
    </w:p>
    <w:p>
      <w:pPr>
        <w:pStyle w:val="DefinitionTerm"/>
      </w:pPr>
      <w:r>
        <w:t xml:space="preserve">Simple(y)</w:t>
      </w:r>
    </w:p>
    <w:p>
      <w:pPr>
        <w:pStyle w:val="Definition"/>
      </w:pPr>
      <w:r>
        <w:t xml:space="preserve">¬∃z K(z,y): no proper intrinsic composition. This leaves disputed formal distinctions and energies unadjudicated.</w:t>
      </w:r>
    </w:p>
    <w:p>
      <w:pPr>
        <w:pStyle w:val="DefinitionTerm"/>
      </w:pPr>
      <w:r>
        <w:t xml:space="preserve">Non-exhaustion</w:t>
      </w:r>
    </w:p>
    <w:p>
      <w:pPr>
        <w:pStyle w:val="Definition"/>
      </w:pPr>
      <w:r>
        <w:t xml:space="preserve">μₑ(x) &lt; μₑ(g) for finite actual x; an actuality-mode comparison, not a blanket theory of representation.</w:t>
      </w:r>
    </w:p>
    <w:bookmarkEnd w:id="44"/>
    <w:bookmarkStart w:id="45" w:name="X97917832a1a6faa5f570cc26cec153d6ada792b"/>
    <w:p>
      <w:pPr>
        <w:pStyle w:val="Heading3"/>
      </w:pPr>
      <w:r>
        <w:t xml:space="preserve">Can the candidate primitives be eliminated?</w:t>
      </w:r>
    </w:p>
    <w:p>
      <w:pPr>
        <w:pStyle w:val="FirstParagraph"/>
      </w:pPr>
      <w:r>
        <w:t xml:space="preserve">Source is a role; reception, participation, expression, and communication are defined. Likeness needs qualitative realization, not a new likeness primitive. Perfection requires an independently defended positive-content interpretation of q. Measure may be stored inside H, but removing its information destroys finite/infinite claims. Eliminating C collapses productive and constitutive grounding; eliminating K makes nonconstituency inexpressible; eliminating J loses the cross-world intrinsic/extrinsic distinction. Actuality can be represented by actual-domain semantics rather than A, but that changes notation, not the question of existence. These are information-loss tests, not proofs that no alternative interdefinition could work.</w:t>
      </w:r>
    </w:p>
    <w:bookmarkEnd w:id="45"/>
    <w:p>
      <w:pPr>
        <w:pStyle w:val="BodyText"/>
      </w:pPr>
      <w:r>
        <w:t xml:space="preserve">03 / THE DERIVATIONS</w:t>
      </w:r>
    </w:p>
    <w:bookmarkStart w:id="46" w:name="fifteen-claims.-unequal-logical-status."/>
    <w:p>
      <w:pPr>
        <w:pStyle w:val="Heading2"/>
      </w:pPr>
      <w:r>
        <w:t xml:space="preserve">Fifteen claims.</w:t>
      </w:r>
      <w:r>
        <w:br/>
      </w:r>
      <w:r>
        <w:t xml:space="preserve">Unequal logical status.</w:t>
      </w:r>
    </w:p>
    <w:p>
      <w:pPr>
        <w:pStyle w:val="FirstParagraph"/>
      </w:pPr>
      <w:r>
        <w:t xml:space="preserve">Arrows show the clauses used in this reconstruction. “Conditional” means that the stated assumptions about the source are adopted; no cosmological existence proof is being presented.</w:t>
      </w:r>
    </w:p>
    <w:bookmarkEnd w:id="46"/>
    <w:p>
      <w:pPr>
        <w:pStyle w:val="BodyText"/>
      </w:pPr>
      <w:r>
        <w:t xml:space="preserve">G + CP + U</w:t>
      </w:r>
    </w:p>
    <w:p>
      <w:pPr>
        <w:pStyle w:val="BodyText"/>
      </w:pPr>
      <w:r>
        <w:t xml:space="preserve">→</w:t>
      </w:r>
    </w:p>
    <w:p>
      <w:pPr>
        <w:pStyle w:val="BodyText"/>
      </w:pPr>
      <w:r>
        <w:t xml:space="preserve">caused or sustained actuality → asymmetric dependence → effect ≠ source</w:t>
      </w:r>
    </w:p>
    <w:p>
      <w:pPr>
        <w:pStyle w:val="BodyText"/>
      </w:pPr>
      <w:r>
        <w:t xml:space="preserve">Q + realized content</w:t>
      </w:r>
    </w:p>
    <w:p>
      <w:pPr>
        <w:pStyle w:val="BodyText"/>
      </w:pPr>
      <w:r>
        <w:t xml:space="preserve">→</w:t>
      </w:r>
    </w:p>
    <w:p>
      <w:pPr>
        <w:pStyle w:val="BodyText"/>
      </w:pPr>
      <w:r>
        <w:t xml:space="preserve">real causal likeness; different mode remains possible</w:t>
      </w:r>
    </w:p>
    <w:p>
      <w:pPr>
        <w:pStyle w:val="BodyText"/>
      </w:pPr>
      <w:r>
        <w:t xml:space="preserve">KD + U</w:t>
      </w:r>
      <w:r>
        <w:br/>
      </w:r>
      <w:r>
        <w:t xml:space="preserve">KH + FS + FC</w:t>
      </w:r>
    </w:p>
    <w:p>
      <w:pPr>
        <w:pStyle w:val="BodyText"/>
      </w:pPr>
      <w:r>
        <w:t xml:space="preserve">→</w:t>
      </w:r>
    </w:p>
    <w:p>
      <w:pPr>
        <w:pStyle w:val="BodyText"/>
      </w:pPr>
      <w:r>
        <w:t xml:space="preserve">no components in source; source is no component in creature</w:t>
      </w:r>
    </w:p>
    <w:p>
      <w:pPr>
        <w:pStyle w:val="BodyText"/>
      </w:pPr>
      <w:r>
        <w:t xml:space="preserve">FS + FC</w:t>
      </w:r>
    </w:p>
    <w:p>
      <w:pPr>
        <w:pStyle w:val="BodyText"/>
      </w:pPr>
      <w:r>
        <w:t xml:space="preserve">→</w:t>
      </w:r>
    </w:p>
    <w:p>
      <w:pPr>
        <w:pStyle w:val="BodyText"/>
      </w:pPr>
      <w:r>
        <w:t xml:space="preserve">finite actuality cannot measure source actuality</w:t>
      </w:r>
    </w:p>
    <w:p>
      <w:pPr>
        <w:pStyle w:val="BodyText"/>
      </w:pPr>
      <w:r>
        <w:t xml:space="preserve">X + V + W</w:t>
      </w:r>
    </w:p>
    <w:p>
      <w:pPr>
        <w:pStyle w:val="BodyText"/>
      </w:pPr>
      <w:r>
        <w:t xml:space="preserve">→</w:t>
      </w:r>
    </w:p>
    <w:p>
      <w:pPr>
        <w:pStyle w:val="BodyText"/>
      </w:pPr>
      <w:r>
        <w:t xml:space="preserve">unchanged intrinsic fullness; alternatives; intentional choice</w:t>
      </w:r>
    </w:p>
    <w:bookmarkStart w:id="47" w:name="inspect-all-fifteen-theorem-assessments"/>
    <w:p>
      <w:pPr>
        <w:pStyle w:val="Heading3"/>
      </w:pPr>
      <w:r>
        <w:t xml:space="preserve">Inspect all fifteen theorem assessments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Claim</w:t>
            </w:r>
          </w:p>
        </w:tc>
        <w:tc>
          <w:tcPr>
            <w:tcW w:type="dxa" w:w="2749"/>
            <w:shd w:fill="EAE5DA"/>
          </w:tcPr>
          <w:p>
            <w:pPr>
              <w:pStyle w:val="BodyText"/>
              <w:keepNext w:val="0"/>
              <w:spacing w:after="80" w:line="252" w:lineRule="auto"/>
              <w:jc w:val="left"/>
            </w:pPr>
            <w:r>
              <w:rPr>
                <w:rFonts w:ascii="Calibri" w:hAnsi="Calibri"/>
                <w:b/>
                <w:sz w:val="17"/>
              </w:rPr>
              <w:t xml:space="preserve">Participation theorem</w:t>
            </w:r>
          </w:p>
        </w:tc>
        <w:tc>
          <w:tcPr>
            <w:tcW w:type="dxa" w:w="2749"/>
            <w:shd w:fill="EAE5DA"/>
          </w:tcPr>
          <w:p>
            <w:pPr>
              <w:pStyle w:val="BodyText"/>
              <w:keepNext w:val="0"/>
              <w:spacing w:after="80" w:line="252" w:lineRule="auto"/>
              <w:jc w:val="left"/>
            </w:pPr>
            <w:r>
              <w:rPr>
                <w:rFonts w:ascii="Calibri" w:hAnsi="Calibri"/>
                <w:b/>
                <w:sz w:val="17"/>
              </w:rPr>
              <w:t xml:space="preserve">Uses</w:t>
            </w:r>
          </w:p>
        </w:tc>
        <w:tc>
          <w:tcPr>
            <w:tcW w:type="dxa" w:w="2749"/>
            <w:shd w:fill="EAE5DA"/>
          </w:tcPr>
          <w:p>
            <w:pPr>
              <w:pStyle w:val="BodyText"/>
              <w:keepNext w:val="0"/>
              <w:spacing w:after="80" w:line="252" w:lineRule="auto"/>
              <w:jc w:val="left"/>
            </w:pPr>
            <w:r>
              <w:rPr>
                <w:rFonts w:ascii="Calibri" w:hAnsi="Calibri"/>
                <w:b/>
                <w:sz w:val="17"/>
              </w:rPr>
              <w:t xml:space="preserve">Exact result</w:t>
            </w:r>
          </w:p>
        </w:tc>
      </w:tr>
      <w:tr>
        <w:tc>
          <w:tcPr>
            <w:tcW w:type="dxa" w:w="1689"/>
          </w:tcPr>
          <w:p>
            <w:pPr>
              <w:pStyle w:val="BodyText"/>
              <w:keepNext w:val="0"/>
              <w:spacing w:after="80" w:line="252" w:lineRule="auto"/>
              <w:jc w:val="left"/>
            </w:pPr>
            <w:r>
              <w:rPr>
                <w:rFonts w:ascii="Calibri" w:hAnsi="Calibri"/>
                <w:sz w:val="17"/>
              </w:rPr>
              <w:t xml:space="preserve">T1</w:t>
            </w:r>
          </w:p>
        </w:tc>
        <w:tc>
          <w:tcPr>
            <w:tcW w:type="dxa" w:w="2749"/>
          </w:tcPr>
          <w:p>
            <w:pPr>
              <w:pStyle w:val="BodyText"/>
              <w:keepNext w:val="0"/>
              <w:spacing w:after="80" w:line="252" w:lineRule="auto"/>
              <w:jc w:val="left"/>
            </w:pPr>
            <w:r>
              <w:rPr>
                <w:rFonts w:ascii="Calibri" w:hAnsi="Calibri"/>
                <w:b/>
                <w:bCs/>
                <w:sz w:val="17"/>
              </w:rPr>
              <w:t xml:space="preserve">Participation without partition</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G, CP, U, KD, KH, FS, FC</w:t>
            </w:r>
          </w:p>
        </w:tc>
        <w:tc>
          <w:tcPr>
            <w:tcW w:type="dxa" w:w="2749"/>
          </w:tcPr>
          <w:p>
            <w:pPr>
              <w:pStyle w:val="BodyText"/>
              <w:keepNext w:val="0"/>
              <w:spacing w:after="80" w:line="252" w:lineRule="auto"/>
              <w:jc w:val="left"/>
            </w:pPr>
            <w:r>
              <w:rPr>
                <w:rFonts w:ascii="Calibri" w:hAnsi="Calibri"/>
                <w:sz w:val="17"/>
              </w:rPr>
              <w:t xml:space="preserve">KD + U exclude a creature as a constituent of g. KH + FS + FC exclude g as a constituent of a creature. This excludes substance-sharing, not every possible meaning of expression.</w:t>
            </w:r>
          </w:p>
        </w:tc>
      </w:tr>
      <w:tr>
        <w:tc>
          <w:tcPr>
            <w:tcW w:type="dxa" w:w="1689"/>
          </w:tcPr>
          <w:p>
            <w:pPr>
              <w:pStyle w:val="BodyText"/>
              <w:keepNext w:val="0"/>
              <w:spacing w:after="80" w:line="252" w:lineRule="auto"/>
              <w:jc w:val="left"/>
            </w:pPr>
            <w:r>
              <w:rPr>
                <w:rFonts w:ascii="Calibri" w:hAnsi="Calibri"/>
                <w:sz w:val="17"/>
              </w:rPr>
              <w:t xml:space="preserve">T2</w:t>
            </w:r>
          </w:p>
        </w:tc>
        <w:tc>
          <w:tcPr>
            <w:tcW w:type="dxa" w:w="2749"/>
          </w:tcPr>
          <w:p>
            <w:pPr>
              <w:pStyle w:val="BodyText"/>
              <w:keepNext w:val="0"/>
              <w:spacing w:after="80" w:line="252" w:lineRule="auto"/>
              <w:jc w:val="left"/>
            </w:pPr>
            <w:r>
              <w:rPr>
                <w:rFonts w:ascii="Calibri" w:hAnsi="Calibri"/>
                <w:b/>
                <w:bCs/>
                <w:sz w:val="17"/>
              </w:rPr>
              <w:t xml:space="preserve">Likeness without identity</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CP, U, Q</w:t>
            </w:r>
          </w:p>
        </w:tc>
        <w:tc>
          <w:tcPr>
            <w:tcW w:type="dxa" w:w="2749"/>
          </w:tcPr>
          <w:p>
            <w:pPr>
              <w:pStyle w:val="BodyText"/>
              <w:keepNext w:val="0"/>
              <w:spacing w:after="80" w:line="252" w:lineRule="auto"/>
              <w:jc w:val="left"/>
            </w:pPr>
            <w:r>
              <w:rPr>
                <w:rFonts w:ascii="Calibri" w:hAnsi="Calibri"/>
                <w:sz w:val="17"/>
              </w:rPr>
              <w:t xml:space="preserve">For an actual C(g,x,q) effect with H(x,q,m), Q supplies shared content. If x were g, CP would imply dependence of g, contradicting U. No difference is hidden in the definition of reception.</w:t>
            </w:r>
          </w:p>
        </w:tc>
      </w:tr>
      <w:tr>
        <w:tc>
          <w:tcPr>
            <w:tcW w:type="dxa" w:w="1689"/>
          </w:tcPr>
          <w:p>
            <w:pPr>
              <w:pStyle w:val="BodyText"/>
              <w:keepNext w:val="0"/>
              <w:spacing w:after="80" w:line="252" w:lineRule="auto"/>
              <w:jc w:val="left"/>
            </w:pPr>
            <w:r>
              <w:rPr>
                <w:rFonts w:ascii="Calibri" w:hAnsi="Calibri"/>
                <w:sz w:val="17"/>
              </w:rPr>
              <w:t xml:space="preserve">T3</w:t>
            </w:r>
          </w:p>
        </w:tc>
        <w:tc>
          <w:tcPr>
            <w:tcW w:type="dxa" w:w="2749"/>
          </w:tcPr>
          <w:p>
            <w:pPr>
              <w:pStyle w:val="BodyText"/>
              <w:keepNext w:val="0"/>
              <w:spacing w:after="80" w:line="252" w:lineRule="auto"/>
              <w:jc w:val="left"/>
            </w:pPr>
            <w:r>
              <w:rPr>
                <w:rFonts w:ascii="Calibri" w:hAnsi="Calibri"/>
                <w:b/>
                <w:bCs/>
                <w:sz w:val="17"/>
              </w:rPr>
              <w:t xml:space="preserve">Likeness without common genus</w:t>
            </w:r>
            <w:r>
              <w:rPr>
                <w:rFonts w:ascii="Calibri" w:hAnsi="Calibri"/>
                <w:sz w:val="17"/>
              </w:rPr>
              <w:br/>
            </w:r>
            <w:r>
              <w:rPr>
                <w:rFonts w:ascii="Calibri" w:hAnsi="Calibri"/>
                <w:sz w:val="17"/>
              </w:rPr>
              <w:t xml:space="preserve">Extra bridge</w:t>
            </w:r>
          </w:p>
        </w:tc>
        <w:tc>
          <w:tcPr>
            <w:tcW w:type="dxa" w:w="2749"/>
          </w:tcPr>
          <w:p>
            <w:pPr>
              <w:pStyle w:val="BodyText"/>
              <w:keepNext w:val="0"/>
              <w:spacing w:after="80" w:line="252" w:lineRule="auto"/>
              <w:jc w:val="left"/>
            </w:pPr>
            <w:r>
              <w:rPr>
                <w:rFonts w:ascii="Calibri" w:hAnsi="Calibri"/>
                <w:sz w:val="17"/>
              </w:rPr>
              <w:t xml:space="preserve">G, Q, U, KD, N</w:t>
            </w:r>
          </w:p>
        </w:tc>
        <w:tc>
          <w:tcPr>
            <w:tcW w:type="dxa" w:w="2749"/>
          </w:tcPr>
          <w:p>
            <w:pPr>
              <w:pStyle w:val="BodyText"/>
              <w:keepNext w:val="0"/>
              <w:spacing w:after="80" w:line="252" w:lineRule="auto"/>
              <w:jc w:val="left"/>
            </w:pPr>
            <w:r>
              <w:rPr>
                <w:rFonts w:ascii="Calibri" w:hAnsi="Calibri"/>
                <w:sz w:val="17"/>
              </w:rPr>
              <w:t xml:space="preserve">The basic assumptions block an inference from likeness to genus; it does not prove that no genus exists. N + KD + U exclude natural genus-membership. Scotist univocity of a concept is a separate issue.</w:t>
            </w:r>
          </w:p>
        </w:tc>
      </w:tr>
      <w:tr>
        <w:tc>
          <w:tcPr>
            <w:tcW w:type="dxa" w:w="1689"/>
          </w:tcPr>
          <w:p>
            <w:pPr>
              <w:pStyle w:val="BodyText"/>
              <w:keepNext w:val="0"/>
              <w:spacing w:after="80" w:line="252" w:lineRule="auto"/>
              <w:jc w:val="left"/>
            </w:pPr>
            <w:r>
              <w:rPr>
                <w:rFonts w:ascii="Calibri" w:hAnsi="Calibri"/>
                <w:sz w:val="17"/>
              </w:rPr>
              <w:t xml:space="preserve">T4</w:t>
            </w:r>
          </w:p>
        </w:tc>
        <w:tc>
          <w:tcPr>
            <w:tcW w:type="dxa" w:w="2749"/>
          </w:tcPr>
          <w:p>
            <w:pPr>
              <w:pStyle w:val="BodyText"/>
              <w:keepNext w:val="0"/>
              <w:spacing w:after="80" w:line="252" w:lineRule="auto"/>
              <w:jc w:val="left"/>
            </w:pPr>
            <w:r>
              <w:rPr>
                <w:rFonts w:ascii="Calibri" w:hAnsi="Calibri"/>
                <w:b/>
                <w:bCs/>
                <w:sz w:val="17"/>
              </w:rPr>
              <w:t xml:space="preserve">Dependence without reciprocal completion</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G, CP, U</w:t>
            </w:r>
          </w:p>
        </w:tc>
        <w:tc>
          <w:tcPr>
            <w:tcW w:type="dxa" w:w="2749"/>
          </w:tcPr>
          <w:p>
            <w:pPr>
              <w:pStyle w:val="BodyText"/>
              <w:keepNext w:val="0"/>
              <w:spacing w:after="80" w:line="252" w:lineRule="auto"/>
              <w:jc w:val="left"/>
            </w:pPr>
            <w:r>
              <w:rPr>
                <w:rFonts w:ascii="Calibri" w:hAnsi="Calibri"/>
                <w:sz w:val="17"/>
              </w:rPr>
              <w:t xml:space="preserve">Effects depend on g; no actuality of g is grounded in them. “Completion” must mean acquisition or grounding of intrinsic perfection, not merely true external predication.</w:t>
            </w:r>
          </w:p>
        </w:tc>
      </w:tr>
      <w:tr>
        <w:tc>
          <w:tcPr>
            <w:tcW w:type="dxa" w:w="1689"/>
          </w:tcPr>
          <w:p>
            <w:pPr>
              <w:pStyle w:val="BodyText"/>
              <w:keepNext w:val="0"/>
              <w:spacing w:after="80" w:line="252" w:lineRule="auto"/>
              <w:jc w:val="left"/>
            </w:pPr>
            <w:r>
              <w:rPr>
                <w:rFonts w:ascii="Calibri" w:hAnsi="Calibri"/>
                <w:sz w:val="17"/>
              </w:rPr>
              <w:t xml:space="preserve">T5</w:t>
            </w:r>
          </w:p>
        </w:tc>
        <w:tc>
          <w:tcPr>
            <w:tcW w:type="dxa" w:w="2749"/>
          </w:tcPr>
          <w:p>
            <w:pPr>
              <w:pStyle w:val="BodyText"/>
              <w:keepNext w:val="0"/>
              <w:spacing w:after="80" w:line="252" w:lineRule="auto"/>
              <w:jc w:val="left"/>
            </w:pPr>
            <w:r>
              <w:rPr>
                <w:rFonts w:ascii="Calibri" w:hAnsi="Calibri"/>
                <w:b/>
                <w:bCs/>
                <w:sz w:val="17"/>
              </w:rPr>
              <w:t xml:space="preserve">Causal intimacy without constituent identity</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G, CP, U, KD, KH, FS, FC</w:t>
            </w:r>
          </w:p>
        </w:tc>
        <w:tc>
          <w:tcPr>
            <w:tcW w:type="dxa" w:w="2749"/>
          </w:tcPr>
          <w:p>
            <w:pPr>
              <w:pStyle w:val="BodyText"/>
              <w:keepNext w:val="0"/>
              <w:spacing w:after="80" w:line="252" w:lineRule="auto"/>
              <w:jc w:val="left"/>
            </w:pPr>
            <w:r>
              <w:rPr>
                <w:rFonts w:ascii="Calibri" w:hAnsi="Calibri"/>
                <w:sz w:val="17"/>
              </w:rPr>
              <w:t xml:space="preserve">G requires the source to sustain actuality in the present. T1 rules out intrinsic constituency in either direction. Intimacy means this immediate grounding, not spatial closeness.</w:t>
            </w:r>
          </w:p>
        </w:tc>
      </w:tr>
      <w:tr>
        <w:tc>
          <w:tcPr>
            <w:tcW w:type="dxa" w:w="1689"/>
          </w:tcPr>
          <w:p>
            <w:pPr>
              <w:pStyle w:val="BodyText"/>
              <w:keepNext w:val="0"/>
              <w:spacing w:after="80" w:line="252" w:lineRule="auto"/>
              <w:jc w:val="left"/>
            </w:pPr>
            <w:r>
              <w:rPr>
                <w:rFonts w:ascii="Calibri" w:hAnsi="Calibri"/>
                <w:sz w:val="17"/>
              </w:rPr>
              <w:t xml:space="preserve">T6</w:t>
            </w:r>
          </w:p>
        </w:tc>
        <w:tc>
          <w:tcPr>
            <w:tcW w:type="dxa" w:w="2749"/>
          </w:tcPr>
          <w:p>
            <w:pPr>
              <w:pStyle w:val="BodyText"/>
              <w:keepNext w:val="0"/>
              <w:spacing w:after="80" w:line="252" w:lineRule="auto"/>
              <w:jc w:val="left"/>
            </w:pPr>
            <w:r>
              <w:rPr>
                <w:rFonts w:ascii="Calibri" w:hAnsi="Calibri"/>
                <w:b/>
                <w:bCs/>
                <w:sz w:val="17"/>
              </w:rPr>
              <w:t xml:space="preserve">Transcendence without distance</w:t>
            </w:r>
            <w:r>
              <w:rPr>
                <w:rFonts w:ascii="Calibri" w:hAnsi="Calibri"/>
                <w:sz w:val="17"/>
              </w:rPr>
              <w:br/>
            </w:r>
            <w:r>
              <w:rPr>
                <w:rFonts w:ascii="Calibri" w:hAnsi="Calibri"/>
                <w:sz w:val="17"/>
              </w:rPr>
              <w:t xml:space="preserve">Compatibility</w:t>
            </w:r>
          </w:p>
        </w:tc>
        <w:tc>
          <w:tcPr>
            <w:tcW w:type="dxa" w:w="2749"/>
          </w:tcPr>
          <w:p>
            <w:pPr>
              <w:pStyle w:val="BodyText"/>
              <w:keepNext w:val="0"/>
              <w:spacing w:after="80" w:line="252" w:lineRule="auto"/>
              <w:jc w:val="left"/>
            </w:pPr>
            <w:r>
              <w:rPr>
                <w:rFonts w:ascii="Calibri" w:hAnsi="Calibri"/>
                <w:sz w:val="17"/>
              </w:rPr>
              <w:t xml:space="preserve">G, CP, U, FS, FC</w:t>
            </w:r>
          </w:p>
        </w:tc>
        <w:tc>
          <w:tcPr>
            <w:tcW w:type="dxa" w:w="2749"/>
          </w:tcPr>
          <w:p>
            <w:pPr>
              <w:pStyle w:val="BodyText"/>
              <w:keepNext w:val="0"/>
              <w:spacing w:after="80" w:line="252" w:lineRule="auto"/>
              <w:jc w:val="left"/>
            </w:pPr>
            <w:r>
              <w:rPr>
                <w:rFonts w:ascii="Calibri" w:hAnsi="Calibri"/>
                <w:sz w:val="17"/>
              </w:rPr>
              <w:t xml:space="preserve">Unequal modes and underivation coexist with present causation. The theory neither places God at a spatial location nor proves a spatial negative from a language without space.</w:t>
            </w:r>
          </w:p>
        </w:tc>
      </w:tr>
      <w:tr>
        <w:tc>
          <w:tcPr>
            <w:tcW w:type="dxa" w:w="1689"/>
          </w:tcPr>
          <w:p>
            <w:pPr>
              <w:pStyle w:val="BodyText"/>
              <w:keepNext w:val="0"/>
              <w:spacing w:after="80" w:line="252" w:lineRule="auto"/>
              <w:jc w:val="left"/>
            </w:pPr>
            <w:r>
              <w:rPr>
                <w:rFonts w:ascii="Calibri" w:hAnsi="Calibri"/>
                <w:sz w:val="17"/>
              </w:rPr>
              <w:t xml:space="preserve">T7</w:t>
            </w:r>
          </w:p>
        </w:tc>
        <w:tc>
          <w:tcPr>
            <w:tcW w:type="dxa" w:w="2749"/>
          </w:tcPr>
          <w:p>
            <w:pPr>
              <w:pStyle w:val="BodyText"/>
              <w:keepNext w:val="0"/>
              <w:spacing w:after="80" w:line="252" w:lineRule="auto"/>
              <w:jc w:val="left"/>
            </w:pPr>
            <w:r>
              <w:rPr>
                <w:rFonts w:ascii="Calibri" w:hAnsi="Calibri"/>
                <w:b/>
                <w:bCs/>
                <w:sz w:val="17"/>
              </w:rPr>
              <w:t xml:space="preserve">Finite manifestation without exhaustive representation</w:t>
            </w:r>
            <w:r>
              <w:rPr>
                <w:rFonts w:ascii="Calibri" w:hAnsi="Calibri"/>
                <w:sz w:val="17"/>
              </w:rPr>
              <w:br/>
            </w:r>
            <w:r>
              <w:rPr>
                <w:rFonts w:ascii="Calibri" w:hAnsi="Calibri"/>
                <w:sz w:val="17"/>
              </w:rPr>
              <w:t xml:space="preserve">Qualified</w:t>
            </w:r>
          </w:p>
        </w:tc>
        <w:tc>
          <w:tcPr>
            <w:tcW w:type="dxa" w:w="2749"/>
          </w:tcPr>
          <w:p>
            <w:pPr>
              <w:pStyle w:val="BodyText"/>
              <w:keepNext w:val="0"/>
              <w:spacing w:after="80" w:line="252" w:lineRule="auto"/>
              <w:jc w:val="left"/>
            </w:pPr>
            <w:r>
              <w:rPr>
                <w:rFonts w:ascii="Calibri" w:hAnsi="Calibri"/>
                <w:sz w:val="17"/>
              </w:rPr>
              <w:t xml:space="preserve">G, Q, FS, FC</w:t>
            </w:r>
          </w:p>
        </w:tc>
        <w:tc>
          <w:tcPr>
            <w:tcW w:type="dxa" w:w="2749"/>
          </w:tcPr>
          <w:p>
            <w:pPr>
              <w:pStyle w:val="BodyText"/>
              <w:keepNext w:val="0"/>
              <w:spacing w:after="80" w:line="252" w:lineRule="auto"/>
              <w:jc w:val="left"/>
            </w:pPr>
            <w:r>
              <w:rPr>
                <w:rFonts w:ascii="Calibri" w:hAnsi="Calibri"/>
                <w:sz w:val="17"/>
              </w:rPr>
              <w:t xml:space="preserve">Source-related content can be truly manifested while a finite realization fails to match unlimited source actuality. Objective expression is not yet warranted recognition. A finite proposition can be exactly true; the mode comparison does not disqualify every representation or infinite aggregate.</w:t>
            </w:r>
          </w:p>
        </w:tc>
      </w:tr>
      <w:tr>
        <w:tc>
          <w:tcPr>
            <w:tcW w:type="dxa" w:w="1689"/>
          </w:tcPr>
          <w:p>
            <w:pPr>
              <w:pStyle w:val="BodyText"/>
              <w:keepNext w:val="0"/>
              <w:spacing w:after="80" w:line="252" w:lineRule="auto"/>
              <w:jc w:val="left"/>
            </w:pPr>
            <w:r>
              <w:rPr>
                <w:rFonts w:ascii="Calibri" w:hAnsi="Calibri"/>
                <w:sz w:val="17"/>
              </w:rPr>
              <w:t xml:space="preserve">T8</w:t>
            </w:r>
          </w:p>
        </w:tc>
        <w:tc>
          <w:tcPr>
            <w:tcW w:type="dxa" w:w="2749"/>
          </w:tcPr>
          <w:p>
            <w:pPr>
              <w:pStyle w:val="BodyText"/>
              <w:keepNext w:val="0"/>
              <w:spacing w:after="80" w:line="252" w:lineRule="auto"/>
              <w:jc w:val="left"/>
            </w:pPr>
            <w:r>
              <w:rPr>
                <w:rFonts w:ascii="Calibri" w:hAnsi="Calibri"/>
                <w:b/>
                <w:bCs/>
                <w:sz w:val="17"/>
              </w:rPr>
              <w:t xml:space="preserve">Real communication without source-completion</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G, CP, Q, U, X</w:t>
            </w:r>
          </w:p>
        </w:tc>
        <w:tc>
          <w:tcPr>
            <w:tcW w:type="dxa" w:w="2749"/>
          </w:tcPr>
          <w:p>
            <w:pPr>
              <w:pStyle w:val="BodyText"/>
              <w:keepNext w:val="0"/>
              <w:spacing w:after="80" w:line="252" w:lineRule="auto"/>
              <w:jc w:val="left"/>
            </w:pPr>
            <w:r>
              <w:rPr>
                <w:rFonts w:ascii="Calibri" w:hAnsi="Calibri"/>
                <w:sz w:val="17"/>
              </w:rPr>
              <w:t xml:space="preserve">H places the received perfection really in the participant; C gives its productive origin. Nonpartition is established separately by T1. U excludes completion grounded in the effect; X additionally excludes intrinsic gain correlated with different communications.</w:t>
            </w:r>
          </w:p>
        </w:tc>
      </w:tr>
      <w:tr>
        <w:tc>
          <w:tcPr>
            <w:tcW w:type="dxa" w:w="1689"/>
          </w:tcPr>
          <w:p>
            <w:pPr>
              <w:pStyle w:val="BodyText"/>
              <w:keepNext w:val="0"/>
              <w:spacing w:after="80" w:line="252" w:lineRule="auto"/>
              <w:jc w:val="left"/>
            </w:pPr>
            <w:r>
              <w:rPr>
                <w:rFonts w:ascii="Calibri" w:hAnsi="Calibri"/>
                <w:sz w:val="17"/>
              </w:rPr>
              <w:t xml:space="preserve">T9</w:t>
            </w:r>
          </w:p>
        </w:tc>
        <w:tc>
          <w:tcPr>
            <w:tcW w:type="dxa" w:w="2749"/>
          </w:tcPr>
          <w:p>
            <w:pPr>
              <w:pStyle w:val="BodyText"/>
              <w:keepNext w:val="0"/>
              <w:spacing w:after="80" w:line="252" w:lineRule="auto"/>
              <w:jc w:val="left"/>
            </w:pPr>
            <w:r>
              <w:rPr>
                <w:rFonts w:ascii="Calibri" w:hAnsi="Calibri"/>
                <w:b/>
                <w:bCs/>
                <w:sz w:val="17"/>
              </w:rPr>
              <w:t xml:space="preserve">Creaturely perfection without independent Forms</w:t>
            </w:r>
            <w:r>
              <w:rPr>
                <w:rFonts w:ascii="Calibri" w:hAnsi="Calibri"/>
                <w:sz w:val="17"/>
              </w:rPr>
              <w:br/>
            </w:r>
            <w:r>
              <w:rPr>
                <w:rFonts w:ascii="Calibri" w:hAnsi="Calibri"/>
                <w:sz w:val="17"/>
              </w:rPr>
              <w:t xml:space="preserve">Economy, not exclusion</w:t>
            </w:r>
          </w:p>
        </w:tc>
        <w:tc>
          <w:tcPr>
            <w:tcW w:type="dxa" w:w="2749"/>
          </w:tcPr>
          <w:p>
            <w:pPr>
              <w:pStyle w:val="BodyText"/>
              <w:keepNext w:val="0"/>
              <w:spacing w:after="80" w:line="252" w:lineRule="auto"/>
              <w:jc w:val="left"/>
            </w:pPr>
            <w:r>
              <w:rPr>
                <w:rFonts w:ascii="Calibri" w:hAnsi="Calibri"/>
                <w:sz w:val="17"/>
              </w:rPr>
              <w:t xml:space="preserve">G, Q</w:t>
            </w:r>
          </w:p>
        </w:tc>
        <w:tc>
          <w:tcPr>
            <w:tcW w:type="dxa" w:w="2749"/>
          </w:tcPr>
          <w:p>
            <w:pPr>
              <w:pStyle w:val="BodyText"/>
              <w:keepNext w:val="0"/>
              <w:spacing w:after="80" w:line="252" w:lineRule="auto"/>
              <w:jc w:val="left"/>
            </w:pPr>
            <w:r>
              <w:rPr>
                <w:rFonts w:ascii="Calibri" w:hAnsi="Calibri"/>
                <w:sz w:val="17"/>
              </w:rPr>
              <w:t xml:space="preserve">H records what the creature really possesses; q indexes intelligible content without introducing an actual detached Form. An independently existing Form is unnecessary for this account of sourced perfection. Its nonexistence requires an additional ontological closure principle.</w:t>
            </w:r>
          </w:p>
        </w:tc>
      </w:tr>
      <w:tr>
        <w:tc>
          <w:tcPr>
            <w:tcW w:type="dxa" w:w="1689"/>
          </w:tcPr>
          <w:p>
            <w:pPr>
              <w:pStyle w:val="BodyText"/>
              <w:keepNext w:val="0"/>
              <w:spacing w:after="80" w:line="252" w:lineRule="auto"/>
              <w:jc w:val="left"/>
            </w:pPr>
            <w:r>
              <w:rPr>
                <w:rFonts w:ascii="Calibri" w:hAnsi="Calibri"/>
                <w:sz w:val="17"/>
              </w:rPr>
              <w:t xml:space="preserve">T10</w:t>
            </w:r>
          </w:p>
        </w:tc>
        <w:tc>
          <w:tcPr>
            <w:tcW w:type="dxa" w:w="2749"/>
          </w:tcPr>
          <w:p>
            <w:pPr>
              <w:pStyle w:val="BodyText"/>
              <w:keepNext w:val="0"/>
              <w:spacing w:after="80" w:line="252" w:lineRule="auto"/>
              <w:jc w:val="left"/>
            </w:pPr>
            <w:r>
              <w:rPr>
                <w:rFonts w:ascii="Calibri" w:hAnsi="Calibri"/>
                <w:b/>
                <w:bCs/>
                <w:sz w:val="17"/>
              </w:rPr>
              <w:t xml:space="preserve">Divine immanence without pantheistic identity</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G, CP, U, KH, FS, FC</w:t>
            </w:r>
          </w:p>
        </w:tc>
        <w:tc>
          <w:tcPr>
            <w:tcW w:type="dxa" w:w="2749"/>
          </w:tcPr>
          <w:p>
            <w:pPr>
              <w:pStyle w:val="BodyText"/>
              <w:keepNext w:val="0"/>
              <w:spacing w:after="80" w:line="252" w:lineRule="auto"/>
              <w:jc w:val="left"/>
            </w:pPr>
            <w:r>
              <w:rPr>
                <w:rFonts w:ascii="Calibri" w:hAnsi="Calibri"/>
                <w:sz w:val="17"/>
              </w:rPr>
              <w:t xml:space="preserve">Present sustaining causality and source–effect nonidentity jointly hold. This excludes identity-pantheism; “panentheism” remains too varied a label to refute by one theorem.</w:t>
            </w:r>
          </w:p>
        </w:tc>
      </w:tr>
      <w:tr>
        <w:tc>
          <w:tcPr>
            <w:tcW w:type="dxa" w:w="1689"/>
          </w:tcPr>
          <w:p>
            <w:pPr>
              <w:pStyle w:val="BodyText"/>
              <w:keepNext w:val="0"/>
              <w:spacing w:after="80" w:line="252" w:lineRule="auto"/>
              <w:jc w:val="left"/>
            </w:pPr>
            <w:r>
              <w:rPr>
                <w:rFonts w:ascii="Calibri" w:hAnsi="Calibri"/>
                <w:sz w:val="17"/>
              </w:rPr>
              <w:t xml:space="preserve">T11</w:t>
            </w:r>
          </w:p>
        </w:tc>
        <w:tc>
          <w:tcPr>
            <w:tcW w:type="dxa" w:w="2749"/>
          </w:tcPr>
          <w:p>
            <w:pPr>
              <w:pStyle w:val="BodyText"/>
              <w:keepNext w:val="0"/>
              <w:spacing w:after="80" w:line="252" w:lineRule="auto"/>
              <w:jc w:val="left"/>
            </w:pPr>
            <w:r>
              <w:rPr>
                <w:rFonts w:ascii="Calibri" w:hAnsi="Calibri"/>
                <w:b/>
                <w:bCs/>
                <w:sz w:val="17"/>
              </w:rPr>
              <w:t xml:space="preserve">Asymmetric Creator–creature relation</w:t>
            </w:r>
            <w:r>
              <w:rPr>
                <w:rFonts w:ascii="Calibri" w:hAnsi="Calibri"/>
                <w:sz w:val="17"/>
              </w:rPr>
              <w:br/>
            </w:r>
            <w:r>
              <w:rPr>
                <w:rFonts w:ascii="Calibri" w:hAnsi="Calibri"/>
                <w:sz w:val="17"/>
              </w:rPr>
              <w:t xml:space="preserve">Qualified</w:t>
            </w:r>
          </w:p>
        </w:tc>
        <w:tc>
          <w:tcPr>
            <w:tcW w:type="dxa" w:w="2749"/>
          </w:tcPr>
          <w:p>
            <w:pPr>
              <w:pStyle w:val="BodyText"/>
              <w:keepNext w:val="0"/>
              <w:spacing w:after="80" w:line="252" w:lineRule="auto"/>
              <w:jc w:val="left"/>
            </w:pPr>
            <w:r>
              <w:rPr>
                <w:rFonts w:ascii="Calibri" w:hAnsi="Calibri"/>
                <w:sz w:val="17"/>
              </w:rPr>
              <w:t xml:space="preserve">G, CP, U, X</w:t>
            </w:r>
          </w:p>
        </w:tc>
        <w:tc>
          <w:tcPr>
            <w:tcW w:type="dxa" w:w="2749"/>
          </w:tcPr>
          <w:p>
            <w:pPr>
              <w:pStyle w:val="BodyText"/>
              <w:keepNext w:val="0"/>
              <w:spacing w:after="80" w:line="252" w:lineRule="auto"/>
              <w:jc w:val="left"/>
            </w:pPr>
            <w:r>
              <w:rPr>
                <w:rFonts w:ascii="Calibri" w:hAnsi="Calibri"/>
                <w:sz w:val="17"/>
              </w:rPr>
              <w:t xml:space="preserve">D is an actual creaturely grounding fact; source intrinsic actuality is not constituted by changed effects. Aquinas’s further “real / relation of reason” classification requires a school-specific relational ontology.</w:t>
            </w:r>
          </w:p>
        </w:tc>
      </w:tr>
      <w:tr>
        <w:tc>
          <w:tcPr>
            <w:tcW w:type="dxa" w:w="1689"/>
          </w:tcPr>
          <w:p>
            <w:pPr>
              <w:pStyle w:val="BodyText"/>
              <w:keepNext w:val="0"/>
              <w:spacing w:after="80" w:line="252" w:lineRule="auto"/>
              <w:jc w:val="left"/>
            </w:pPr>
            <w:r>
              <w:rPr>
                <w:rFonts w:ascii="Calibri" w:hAnsi="Calibri"/>
                <w:sz w:val="17"/>
              </w:rPr>
              <w:t xml:space="preserve">T12</w:t>
            </w:r>
          </w:p>
        </w:tc>
        <w:tc>
          <w:tcPr>
            <w:tcW w:type="dxa" w:w="2749"/>
          </w:tcPr>
          <w:p>
            <w:pPr>
              <w:pStyle w:val="BodyText"/>
              <w:keepNext w:val="0"/>
              <w:spacing w:after="80" w:line="252" w:lineRule="auto"/>
              <w:jc w:val="left"/>
            </w:pPr>
            <w:r>
              <w:rPr>
                <w:rFonts w:ascii="Calibri" w:hAnsi="Calibri"/>
                <w:b/>
                <w:bCs/>
                <w:sz w:val="17"/>
              </w:rPr>
              <w:t xml:space="preserve">Finite measure belongs to the recipient</w:t>
            </w:r>
            <w:r>
              <w:rPr>
                <w:rFonts w:ascii="Calibri" w:hAnsi="Calibri"/>
                <w:sz w:val="17"/>
              </w:rPr>
              <w:br/>
            </w:r>
            <w:r>
              <w:rPr>
                <w:rFonts w:ascii="Calibri" w:hAnsi="Calibri"/>
                <w:sz w:val="17"/>
              </w:rPr>
              <w:t xml:space="preserve">Indexed fact</w:t>
            </w:r>
          </w:p>
        </w:tc>
        <w:tc>
          <w:tcPr>
            <w:tcW w:type="dxa" w:w="2749"/>
          </w:tcPr>
          <w:p>
            <w:pPr>
              <w:pStyle w:val="BodyText"/>
              <w:keepNext w:val="0"/>
              <w:spacing w:after="80" w:line="252" w:lineRule="auto"/>
              <w:jc w:val="left"/>
            </w:pPr>
            <w:r>
              <w:rPr>
                <w:rFonts w:ascii="Calibri" w:hAnsi="Calibri"/>
                <w:sz w:val="17"/>
              </w:rPr>
              <w:t xml:space="preserve">FS, FC</w:t>
            </w:r>
          </w:p>
        </w:tc>
        <w:tc>
          <w:tcPr>
            <w:tcW w:type="dxa" w:w="2749"/>
          </w:tcPr>
          <w:p>
            <w:pPr>
              <w:pStyle w:val="BodyText"/>
              <w:keepNext w:val="0"/>
              <w:spacing w:after="80" w:line="252" w:lineRule="auto"/>
              <w:jc w:val="left"/>
            </w:pPr>
            <w:r>
              <w:rPr>
                <w:rFonts w:ascii="Calibri" w:hAnsi="Calibri"/>
                <w:sz w:val="17"/>
              </w:rPr>
              <w:t xml:space="preserve">H indexes mode to its subject. FC bounds creatures; FS independently leaves the source unbounded. Subject-indexing alone would never prove divine infinity.</w:t>
            </w:r>
          </w:p>
        </w:tc>
      </w:tr>
      <w:tr>
        <w:tc>
          <w:tcPr>
            <w:tcW w:type="dxa" w:w="1689"/>
          </w:tcPr>
          <w:p>
            <w:pPr>
              <w:pStyle w:val="BodyText"/>
              <w:keepNext w:val="0"/>
              <w:spacing w:after="80" w:line="252" w:lineRule="auto"/>
              <w:jc w:val="left"/>
            </w:pPr>
            <w:r>
              <w:rPr>
                <w:rFonts w:ascii="Calibri" w:hAnsi="Calibri"/>
                <w:sz w:val="17"/>
              </w:rPr>
              <w:t xml:space="preserve">T13</w:t>
            </w:r>
          </w:p>
        </w:tc>
        <w:tc>
          <w:tcPr>
            <w:tcW w:type="dxa" w:w="2749"/>
          </w:tcPr>
          <w:p>
            <w:pPr>
              <w:pStyle w:val="BodyText"/>
              <w:keepNext w:val="0"/>
              <w:spacing w:after="80" w:line="252" w:lineRule="auto"/>
              <w:jc w:val="left"/>
            </w:pPr>
            <w:r>
              <w:rPr>
                <w:rFonts w:ascii="Calibri" w:hAnsi="Calibri"/>
                <w:b/>
                <w:bCs/>
                <w:sz w:val="17"/>
              </w:rPr>
              <w:t xml:space="preserve">Many expressions, no multiplied source</w:t>
            </w:r>
            <w:r>
              <w:rPr>
                <w:rFonts w:ascii="Calibri" w:hAnsi="Calibri"/>
                <w:sz w:val="17"/>
              </w:rPr>
              <w:br/>
            </w:r>
            <w:r>
              <w:rPr>
                <w:rFonts w:ascii="Calibri" w:hAnsi="Calibri"/>
                <w:sz w:val="17"/>
              </w:rPr>
              <w:t xml:space="preserve">Non-entailment</w:t>
            </w:r>
          </w:p>
        </w:tc>
        <w:tc>
          <w:tcPr>
            <w:tcW w:type="dxa" w:w="2749"/>
          </w:tcPr>
          <w:p>
            <w:pPr>
              <w:pStyle w:val="BodyText"/>
              <w:keepNext w:val="0"/>
              <w:spacing w:after="80" w:line="252" w:lineRule="auto"/>
              <w:jc w:val="left"/>
            </w:pPr>
            <w:r>
              <w:rPr>
                <w:rFonts w:ascii="Calibri" w:hAnsi="Calibri"/>
                <w:sz w:val="17"/>
              </w:rPr>
              <w:t xml:space="preserve">G, CP, U, KD, X</w:t>
            </w:r>
          </w:p>
        </w:tc>
        <w:tc>
          <w:tcPr>
            <w:tcW w:type="dxa" w:w="2749"/>
          </w:tcPr>
          <w:p>
            <w:pPr>
              <w:pStyle w:val="BodyText"/>
              <w:keepNext w:val="0"/>
              <w:spacing w:after="80" w:line="252" w:lineRule="auto"/>
              <w:jc w:val="left"/>
            </w:pPr>
            <w:r>
              <w:rPr>
                <w:rFonts w:ascii="Calibri" w:hAnsi="Calibri"/>
                <w:sz w:val="17"/>
              </w:rPr>
              <w:t xml:space="preserve">KD + U exclude composition of g; X allows multiple created effects with unchanged intrinsic source actuality. Many effects do not entail many divine constituents. This does not settle formalities or energies.</w:t>
            </w:r>
          </w:p>
        </w:tc>
      </w:tr>
      <w:tr>
        <w:tc>
          <w:tcPr>
            <w:tcW w:type="dxa" w:w="1689"/>
          </w:tcPr>
          <w:p>
            <w:pPr>
              <w:pStyle w:val="BodyText"/>
              <w:keepNext w:val="0"/>
              <w:spacing w:after="80" w:line="252" w:lineRule="auto"/>
              <w:jc w:val="left"/>
            </w:pPr>
            <w:r>
              <w:rPr>
                <w:rFonts w:ascii="Calibri" w:hAnsi="Calibri"/>
                <w:sz w:val="17"/>
              </w:rPr>
              <w:t xml:space="preserve">T14</w:t>
            </w:r>
          </w:p>
        </w:tc>
        <w:tc>
          <w:tcPr>
            <w:tcW w:type="dxa" w:w="2749"/>
          </w:tcPr>
          <w:p>
            <w:pPr>
              <w:pStyle w:val="BodyText"/>
              <w:keepNext w:val="0"/>
              <w:spacing w:after="80" w:line="252" w:lineRule="auto"/>
              <w:jc w:val="left"/>
            </w:pPr>
            <w:r>
              <w:rPr>
                <w:rFonts w:ascii="Calibri" w:hAnsi="Calibri"/>
                <w:b/>
                <w:bCs/>
                <w:sz w:val="17"/>
              </w:rPr>
              <w:t xml:space="preserve">No finite participation measures the unlimited source</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FS, FC</w:t>
            </w:r>
          </w:p>
        </w:tc>
        <w:tc>
          <w:tcPr>
            <w:tcW w:type="dxa" w:w="2749"/>
          </w:tcPr>
          <w:p>
            <w:pPr>
              <w:pStyle w:val="BodyText"/>
              <w:keepNext w:val="0"/>
              <w:spacing w:after="80" w:line="252" w:lineRule="auto"/>
              <w:jc w:val="left"/>
            </w:pPr>
            <w:r>
              <w:rPr>
                <w:rFonts w:ascii="Calibri" w:hAnsi="Calibri"/>
                <w:sz w:val="17"/>
              </w:rPr>
              <w:t xml:space="preserve">For actuality e, every finite μₑ(x) is strictly below μₑ(g). For another perfection q, add unlimitedness of the source and boundedness of that participation in that very respect.</w:t>
            </w:r>
          </w:p>
        </w:tc>
      </w:tr>
      <w:tr>
        <w:tc>
          <w:tcPr>
            <w:tcW w:type="dxa" w:w="1689"/>
          </w:tcPr>
          <w:p>
            <w:pPr>
              <w:pStyle w:val="BodyText"/>
              <w:keepNext w:val="0"/>
              <w:spacing w:after="80" w:line="252" w:lineRule="auto"/>
              <w:jc w:val="left"/>
            </w:pPr>
            <w:r>
              <w:rPr>
                <w:rFonts w:ascii="Calibri" w:hAnsi="Calibri"/>
                <w:sz w:val="17"/>
              </w:rPr>
              <w:t xml:space="preserve">T15</w:t>
            </w:r>
          </w:p>
        </w:tc>
        <w:tc>
          <w:tcPr>
            <w:tcW w:type="dxa" w:w="2749"/>
          </w:tcPr>
          <w:p>
            <w:pPr>
              <w:pStyle w:val="BodyText"/>
              <w:keepNext w:val="0"/>
              <w:spacing w:after="80" w:line="252" w:lineRule="auto"/>
              <w:jc w:val="left"/>
            </w:pPr>
            <w:r>
              <w:rPr>
                <w:rFonts w:ascii="Calibri" w:hAnsi="Calibri"/>
                <w:b/>
                <w:bCs/>
                <w:sz w:val="17"/>
              </w:rPr>
              <w:t xml:space="preserve">No particular expression necessitated by fullness</w:t>
            </w:r>
            <w:r>
              <w:rPr>
                <w:rFonts w:ascii="Calibri" w:hAnsi="Calibri"/>
                <w:sz w:val="17"/>
              </w:rPr>
              <w:br/>
            </w:r>
            <w:r>
              <w:rPr>
                <w:rFonts w:ascii="Calibri" w:hAnsi="Calibri"/>
                <w:sz w:val="17"/>
              </w:rPr>
              <w:t xml:space="preserve">Extra modal premise</w:t>
            </w:r>
          </w:p>
        </w:tc>
        <w:tc>
          <w:tcPr>
            <w:tcW w:type="dxa" w:w="2749"/>
          </w:tcPr>
          <w:p>
            <w:pPr>
              <w:pStyle w:val="BodyText"/>
              <w:keepNext w:val="0"/>
              <w:spacing w:after="80" w:line="252" w:lineRule="auto"/>
              <w:jc w:val="left"/>
            </w:pPr>
            <w:r>
              <w:rPr>
                <w:rFonts w:ascii="Calibri" w:hAnsi="Calibri"/>
                <w:sz w:val="17"/>
              </w:rPr>
              <w:t xml:space="preserve">X, V</w:t>
            </w:r>
          </w:p>
        </w:tc>
        <w:tc>
          <w:tcPr>
            <w:tcW w:type="dxa" w:w="2749"/>
          </w:tcPr>
          <w:p>
            <w:pPr>
              <w:pStyle w:val="BodyText"/>
              <w:keepNext w:val="0"/>
              <w:spacing w:after="80" w:line="252" w:lineRule="auto"/>
              <w:jc w:val="left"/>
            </w:pPr>
            <w:r>
              <w:rPr>
                <w:rFonts w:ascii="Calibri" w:hAnsi="Calibri"/>
                <w:sz w:val="17"/>
              </w:rPr>
              <w:t xml:space="preserve">V supplies a genuine no-creation alternative with the same source fullness, so no finite expression is necessary from that fullness. W is additionally required for intentional free selection. Neither follows from non-exhaustion.</w:t>
            </w:r>
          </w:p>
        </w:tc>
      </w:tr>
    </w:tbl>
    <w:bookmarkEnd w:id="47"/>
    <w:bookmarkStart w:id="48" w:name="step-by-step-the-five-compressed-claims"/>
    <w:p>
      <w:pPr>
        <w:pStyle w:val="Heading3"/>
      </w:pPr>
      <w:r>
        <w:t xml:space="preserve">Step-by-step: the five compressed claims</w:t>
      </w:r>
    </w:p>
    <w:p>
      <w:pPr>
        <w:pStyle w:val="FirstParagraph"/>
      </w:pPr>
      <w:r>
        <w:rPr>
          <w:b/>
          <w:bCs/>
        </w:rPr>
        <w:t xml:space="preserve">1.</w:t>
      </w:r>
      <w:r>
        <w:t xml:space="preserve"> </w:t>
      </w:r>
      <w:r>
        <w:rPr>
          <w:b/>
          <w:bCs/>
        </w:rPr>
        <w:t xml:space="preserve">Dependence without identity:</w:t>
      </w:r>
      <w:r>
        <w:t xml:space="preserve"> </w:t>
      </w:r>
      <w:r>
        <w:t xml:space="preserve">C(g,x,e) yields D(x,g,e) by CP. If x = g, U is contradicted. Neither difference nor identity was included in Rec.</w:t>
      </w:r>
    </w:p>
    <w:p>
      <w:pPr>
        <w:pStyle w:val="BodyText"/>
      </w:pPr>
      <w:r>
        <w:rPr>
          <w:b/>
          <w:bCs/>
        </w:rPr>
        <w:t xml:space="preserve">2.</w:t>
      </w:r>
      <w:r>
        <w:t xml:space="preserve"> </w:t>
      </w:r>
      <w:r>
        <w:rPr>
          <w:b/>
          <w:bCs/>
        </w:rPr>
        <w:t xml:space="preserve">Likeness without partition:</w:t>
      </w:r>
      <w:r>
        <w:t xml:space="preserve"> </w:t>
      </w:r>
      <w:r>
        <w:t xml:space="preserve">an actual H(x,q,m) caused by g yields H(g,q,n) by Q. KD + U forbid constituents of g. KH + FS + FC forbid g as a constituent of x.</w:t>
      </w:r>
    </w:p>
    <w:p>
      <w:pPr>
        <w:pStyle w:val="BodyText"/>
      </w:pPr>
      <w:r>
        <w:rPr>
          <w:b/>
          <w:bCs/>
        </w:rPr>
        <w:t xml:space="preserve">3.</w:t>
      </w:r>
      <w:r>
        <w:t xml:space="preserve"> </w:t>
      </w:r>
      <w:r>
        <w:rPr>
          <w:b/>
          <w:bCs/>
        </w:rPr>
        <w:t xml:space="preserve">Likeness without genus:</w:t>
      </w:r>
      <w:r>
        <w:t xml:space="preserve"> </w:t>
      </w:r>
      <w:r>
        <w:t xml:space="preserve">shared H is insufficient for genus-membership. To exclude a natural genus, add N’s composition account; KD + U then rule it out. Logical common predicates remain possible.</w:t>
      </w:r>
    </w:p>
    <w:p>
      <w:pPr>
        <w:pStyle w:val="BodyText"/>
      </w:pPr>
      <w:r>
        <w:rPr>
          <w:b/>
          <w:bCs/>
        </w:rPr>
        <w:t xml:space="preserve">4.</w:t>
      </w:r>
      <w:r>
        <w:t xml:space="preserve"> </w:t>
      </w:r>
      <w:r>
        <w:rPr>
          <w:b/>
          <w:bCs/>
        </w:rPr>
        <w:t xml:space="preserve">Transcendence without distance:</w:t>
      </w:r>
      <w:r>
        <w:t xml:space="preserve"> </w:t>
      </w:r>
      <w:r>
        <w:t xml:space="preserve">FS + FC establish unequal modes, while G gives present causation. No spatial or temporal separation is needed. A full doctrine of divine nonlocality needs a further account of spatiality.</w:t>
      </w:r>
    </w:p>
    <w:p>
      <w:pPr>
        <w:pStyle w:val="BodyText"/>
      </w:pPr>
      <w:r>
        <w:rPr>
          <w:b/>
          <w:bCs/>
        </w:rPr>
        <w:t xml:space="preserve">5.</w:t>
      </w:r>
      <w:r>
        <w:t xml:space="preserve"> </w:t>
      </w:r>
      <w:r>
        <w:rPr>
          <w:b/>
          <w:bCs/>
        </w:rPr>
        <w:t xml:space="preserve">Dependence without rivalry:</w:t>
      </w:r>
      <w:r>
        <w:t xml:space="preserve"> </w:t>
      </w:r>
      <w:r>
        <w:t xml:space="preserve">universal divine causality is compatible with genuine created causes. To establish real creaturely agency, add actual secondary powers and their ordered concurrence. The base alone still admits occasionalism.</w:t>
      </w:r>
    </w:p>
    <w:bookmarkEnd w:id="48"/>
    <w:p>
      <w:pPr>
        <w:pStyle w:val="BodyText"/>
      </w:pPr>
      <w:r>
        <w:rPr>
          <w:b/>
          <w:bCs/>
        </w:rPr>
        <w:t xml:space="preserve">The five-line formula is insufficient.</w:t>
      </w:r>
      <w:r>
        <w:t xml:space="preserve"> </w:t>
      </w:r>
      <w:r>
        <w:t xml:space="preserve">It needs a positive-perfection bridge, a theory of constitution, and explicit assumptions about the source. The fuller Christian account also needs free intentional creation, genuine secondary agency, and a defended account of ex nihilo: production without an uncreated material co-source or divine material. Ex nihilo does not entail a temporal first instant.</w:t>
      </w:r>
    </w:p>
    <w:p>
      <w:pPr>
        <w:pStyle w:val="BodyText"/>
      </w:pPr>
      <w:r>
        <w:t xml:space="preserve">04 / THE DELETION LAB</w:t>
      </w:r>
    </w:p>
    <w:bookmarkStart w:id="49" w:name="X6d37b88cd5cb107428d11e7e37725266da9e200"/>
    <w:p>
      <w:pPr>
        <w:pStyle w:val="Heading2"/>
      </w:pPr>
      <w:r>
        <w:t xml:space="preserve">Remove a clause.</w:t>
      </w:r>
      <w:r>
        <w:br/>
      </w:r>
      <w:r>
        <w:t xml:space="preserve">Watch the argument lose a step.</w:t>
      </w:r>
    </w:p>
    <w:p>
      <w:pPr>
        <w:pStyle w:val="FirstParagraph"/>
      </w:pPr>
      <w:r>
        <w:t xml:space="preserve">The explorer tracks the stated proof paths. A missing path is not a proof of underivability by every imaginable alternative argument. Countermodels and their scope are documented in the formal dossier.</w:t>
      </w:r>
    </w:p>
    <w:bookmarkEnd w:id="49"/>
    <w:bookmarkStart w:id="50" w:name="select-your-commitments"/>
    <w:p>
      <w:pPr>
        <w:pStyle w:val="Heading3"/>
      </w:pPr>
      <w:r>
        <w:t xml:space="preserve">Select your commitments</w:t>
      </w:r>
    </w:p>
    <w:p>
      <w:pPr>
        <w:pStyle w:val="FirstParagraph"/>
      </w:pPr>
      <w:r>
        <w:t xml:space="preserve">G</w:t>
      </w:r>
      <w:r>
        <w:t xml:space="preserve">Universal sustaining causality</w:t>
      </w:r>
    </w:p>
    <w:p>
      <w:pPr>
        <w:pStyle w:val="BodyText"/>
      </w:pPr>
      <w:r>
        <w:t xml:space="preserve">CP</w:t>
      </w:r>
      <w:r>
        <w:t xml:space="preserve">Causal dependence</w:t>
      </w:r>
    </w:p>
    <w:p>
      <w:pPr>
        <w:pStyle w:val="BodyText"/>
      </w:pPr>
      <w:r>
        <w:t xml:space="preserve">U</w:t>
      </w:r>
      <w:r>
        <w:t xml:space="preserve">The source depends on nothing</w:t>
      </w:r>
    </w:p>
    <w:p>
      <w:pPr>
        <w:pStyle w:val="BodyText"/>
      </w:pPr>
      <w:r>
        <w:t xml:space="preserve">Q</w:t>
      </w:r>
      <w:r>
        <w:t xml:space="preserve">Causal adequacy of the ultimate source</w:t>
      </w:r>
    </w:p>
    <w:p>
      <w:pPr>
        <w:pStyle w:val="BodyText"/>
      </w:pPr>
      <w:r>
        <w:t xml:space="preserve">KD</w:t>
      </w:r>
      <w:r>
        <w:t xml:space="preserve">Composition entails dependence</w:t>
      </w:r>
    </w:p>
    <w:p>
      <w:pPr>
        <w:pStyle w:val="BodyText"/>
      </w:pPr>
      <w:r>
        <w:t xml:space="preserve">KH</w:t>
      </w:r>
      <w:r>
        <w:t xml:space="preserve">Constituents do not exceed the whole</w:t>
      </w:r>
    </w:p>
    <w:p>
      <w:pPr>
        <w:pStyle w:val="BodyText"/>
      </w:pPr>
      <w:r>
        <w:t xml:space="preserve">FS</w:t>
      </w:r>
      <w:r>
        <w:t xml:space="preserve">Unbounded source actuality</w:t>
      </w:r>
    </w:p>
    <w:p>
      <w:pPr>
        <w:pStyle w:val="BodyText"/>
      </w:pPr>
      <w:r>
        <w:t xml:space="preserve">FC</w:t>
      </w:r>
      <w:r>
        <w:t xml:space="preserve">Bounded created actuality</w:t>
      </w:r>
    </w:p>
    <w:p>
      <w:pPr>
        <w:pStyle w:val="BodyText"/>
      </w:pPr>
      <w:r>
        <w:t xml:space="preserve">X</w:t>
      </w:r>
      <w:r>
        <w:t xml:space="preserve">Unchanged source across creation alternatives</w:t>
      </w:r>
    </w:p>
    <w:p>
      <w:pPr>
        <w:pStyle w:val="BodyText"/>
      </w:pPr>
      <w:r>
        <w:t xml:space="preserve">N</w:t>
      </w:r>
      <w:r>
        <w:t xml:space="preserve">Natural genus constitutes its members</w:t>
      </w:r>
    </w:p>
    <w:p>
      <w:pPr>
        <w:pStyle w:val="BodyText"/>
      </w:pPr>
      <w:r>
        <w:t xml:space="preserve">V</w:t>
      </w:r>
      <w:r>
        <w:t xml:space="preserve">A genuine no-creation alternative</w:t>
      </w:r>
    </w:p>
    <w:p>
      <w:pPr>
        <w:pStyle w:val="BodyText"/>
      </w:pPr>
      <w:r>
        <w:t xml:space="preserve">W</w:t>
      </w:r>
      <w:r>
        <w:t xml:space="preserve">Intentional self-determination</w:t>
      </w:r>
    </w:p>
    <w:bookmarkEnd w:id="50"/>
    <w:p>
      <w:pPr>
        <w:pStyle w:val="BodyText"/>
      </w:pPr>
      <w:r>
        <w:t xml:space="preserve">13 / 15</w:t>
      </w:r>
    </w:p>
    <w:p>
      <w:pPr>
        <w:pStyle w:val="BodyText"/>
      </w:pPr>
      <w:r>
        <w:t xml:space="preserve">listed proof paths available, including qualified results</w:t>
      </w:r>
    </w:p>
    <w:p>
      <w:pPr>
        <w:pStyle w:val="BodyText"/>
      </w:pPr>
      <w:r>
        <w:t xml:space="preserve">T1</w:t>
      </w:r>
      <w:r>
        <w:t xml:space="preserve">T2</w:t>
      </w:r>
      <w:r>
        <w:t xml:space="preserve">T3</w:t>
      </w:r>
      <w:r>
        <w:t xml:space="preserve">T4</w:t>
      </w:r>
      <w:r>
        <w:t xml:space="preserve">T5</w:t>
      </w:r>
      <w:r>
        <w:t xml:space="preserve">T6</w:t>
      </w:r>
      <w:r>
        <w:t xml:space="preserve">T7</w:t>
      </w:r>
      <w:r>
        <w:t xml:space="preserve">T8</w:t>
      </w:r>
      <w:r>
        <w:t xml:space="preserve">T9</w:t>
      </w:r>
      <w:r>
        <w:t xml:space="preserve">T10</w:t>
      </w:r>
      <w:r>
        <w:t xml:space="preserve">T11</w:t>
      </w:r>
      <w:r>
        <w:t xml:space="preserve">T12</w:t>
      </w:r>
      <w:r>
        <w:t xml:space="preserve">T13</w:t>
      </w:r>
      <w:r>
        <w:t xml:space="preserve">T14</w:t>
      </w:r>
      <w:r>
        <w:t xml:space="preserve">T15</w:t>
      </w:r>
    </w:p>
    <w:p>
      <w:pPr>
        <w:pStyle w:val="BodyText"/>
      </w:pPr>
      <w:r>
        <w:rPr>
          <w:b/>
          <w:bCs/>
        </w:rPr>
        <w:t xml:space="preserve">All nine basic assumptions are selected.</w:t>
      </w:r>
      <w:r>
        <w:t xml:space="preserve">The strict no-common-genus result needs N. Contingency needs V; intentional freedom also needs W. Genuine secondary agency remains a separate commitment.</w:t>
      </w:r>
    </w:p>
    <w:p>
      <w:pPr>
        <w:pStyle w:val="BodyText"/>
      </w:pPr>
      <w:r>
        <w:t xml:space="preserve">V supplies alternatives; W adds intentional freedom. Neither is derived by FS + FC. This is a dependency explorer, not a theorem prover.</w:t>
      </w:r>
    </w:p>
    <w:p>
      <w:pPr>
        <w:pStyle w:val="BodyText"/>
      </w:pPr>
      <w:r>
        <w:t xml:space="preserve">04 / THE INDEPENDENCE AUDIT</w:t>
      </w:r>
    </w:p>
    <w:bookmarkStart w:id="51" w:name="no-deletion-gets-a-free-substitute."/>
    <w:p>
      <w:pPr>
        <w:pStyle w:val="Heading2"/>
      </w:pPr>
      <w:r>
        <w:t xml:space="preserve">No deletion gets a free substitute.</w:t>
      </w:r>
    </w:p>
    <w:p>
      <w:pPr>
        <w:pStyle w:val="FirstParagraph"/>
      </w:pPr>
      <w:r>
        <w:t xml:space="preserve">The countermodels are schematic formal witnesses, not assertions that their rival ontologies are philosophically coherent in every other respect. The formal dossier states actual assignments and retained-clause checks.</w:t>
      </w:r>
    </w:p>
    <w:bookmarkEnd w:id="51"/>
    <w:bookmarkStart w:id="52" w:name="inspect-the-nine-deletion-witnesses"/>
    <w:p>
      <w:pPr>
        <w:pStyle w:val="Heading3"/>
      </w:pPr>
      <w:r>
        <w:t xml:space="preserve">Inspect the nine deletion witnesses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Remove</w:t>
            </w:r>
          </w:p>
        </w:tc>
        <w:tc>
          <w:tcPr>
            <w:tcW w:type="dxa" w:w="3312"/>
            <w:shd w:fill="EAE5DA"/>
          </w:tcPr>
          <w:p>
            <w:pPr>
              <w:pStyle w:val="BodyText"/>
              <w:keepNext w:val="0"/>
              <w:spacing w:after="80" w:line="252" w:lineRule="auto"/>
              <w:jc w:val="left"/>
            </w:pPr>
            <w:r>
              <w:rPr>
                <w:rFonts w:ascii="Calibri" w:hAnsi="Calibri"/>
                <w:b/>
                <w:sz w:val="17"/>
              </w:rPr>
              <w:t xml:space="preserve">Information lost / rival witness</w:t>
            </w:r>
          </w:p>
        </w:tc>
        <w:tc>
          <w:tcPr>
            <w:tcW w:type="dxa" w:w="3312"/>
            <w:shd w:fill="EAE5DA"/>
          </w:tcPr>
          <w:p>
            <w:pPr>
              <w:pStyle w:val="BodyText"/>
              <w:keepNext w:val="0"/>
              <w:spacing w:after="80" w:line="252" w:lineRule="auto"/>
              <w:jc w:val="left"/>
            </w:pPr>
            <w:r>
              <w:rPr>
                <w:rFonts w:ascii="Calibri" w:hAnsi="Calibri"/>
                <w:b/>
                <w:sz w:val="17"/>
              </w:rPr>
              <w:t xml:space="preserve">Why it matters</w:t>
            </w:r>
          </w:p>
        </w:tc>
      </w:tr>
      <w:tr>
        <w:tc>
          <w:tcPr>
            <w:tcW w:type="dxa" w:w="3312"/>
          </w:tcPr>
          <w:p>
            <w:pPr>
              <w:pStyle w:val="BodyText"/>
              <w:keepNext w:val="0"/>
              <w:spacing w:after="80" w:line="252" w:lineRule="auto"/>
              <w:jc w:val="left"/>
            </w:pPr>
            <w:r>
              <w:rPr>
                <w:rFonts w:ascii="Calibri" w:hAnsi="Calibri"/>
                <w:sz w:val="17"/>
              </w:rPr>
              <w:t xml:space="preserve">G</w:t>
            </w:r>
          </w:p>
        </w:tc>
        <w:tc>
          <w:tcPr>
            <w:tcW w:type="dxa" w:w="3312"/>
          </w:tcPr>
          <w:p>
            <w:pPr>
              <w:pStyle w:val="BodyText"/>
              <w:keepNext w:val="0"/>
              <w:spacing w:after="80" w:line="252" w:lineRule="auto"/>
              <w:jc w:val="left"/>
            </w:pPr>
            <w:r>
              <w:rPr>
                <w:rFonts w:ascii="Calibri" w:hAnsi="Calibri"/>
                <w:sz w:val="17"/>
              </w:rPr>
              <w:t xml:space="preserve">Deistic or immanent remainder: some actual perfection persists without the designated source.</w:t>
            </w:r>
          </w:p>
        </w:tc>
        <w:tc>
          <w:tcPr>
            <w:tcW w:type="dxa" w:w="3312"/>
          </w:tcPr>
          <w:p>
            <w:pPr>
              <w:pStyle w:val="BodyText"/>
              <w:keepNext w:val="0"/>
              <w:spacing w:after="80" w:line="252" w:lineRule="auto"/>
              <w:jc w:val="left"/>
            </w:pPr>
            <w:r>
              <w:rPr>
                <w:rFonts w:ascii="Calibri" w:hAnsi="Calibri"/>
                <w:sz w:val="17"/>
              </w:rPr>
              <w:t xml:space="preserve">A genuinely actual creature with no source remains possible. Dependence “in every moment” cannot then be claimed.</w:t>
            </w:r>
          </w:p>
        </w:tc>
      </w:tr>
      <w:tr>
        <w:tc>
          <w:tcPr>
            <w:tcW w:type="dxa" w:w="3312"/>
          </w:tcPr>
          <w:p>
            <w:pPr>
              <w:pStyle w:val="BodyText"/>
              <w:keepNext w:val="0"/>
              <w:spacing w:after="80" w:line="252" w:lineRule="auto"/>
              <w:jc w:val="left"/>
            </w:pPr>
            <w:r>
              <w:rPr>
                <w:rFonts w:ascii="Calibri" w:hAnsi="Calibri"/>
                <w:sz w:val="17"/>
              </w:rPr>
              <w:t xml:space="preserve">CP</w:t>
            </w:r>
          </w:p>
        </w:tc>
        <w:tc>
          <w:tcPr>
            <w:tcW w:type="dxa" w:w="3312"/>
          </w:tcPr>
          <w:p>
            <w:pPr>
              <w:pStyle w:val="BodyText"/>
              <w:keepNext w:val="0"/>
              <w:spacing w:after="80" w:line="252" w:lineRule="auto"/>
              <w:jc w:val="left"/>
            </w:pPr>
            <w:r>
              <w:rPr>
                <w:rFonts w:ascii="Calibri" w:hAnsi="Calibri"/>
                <w:sz w:val="17"/>
              </w:rPr>
              <w:t xml:space="preserve">A merely succession-based causal model, with C but no corresponding D.</w:t>
            </w:r>
          </w:p>
        </w:tc>
        <w:tc>
          <w:tcPr>
            <w:tcW w:type="dxa" w:w="3312"/>
          </w:tcPr>
          <w:p>
            <w:pPr>
              <w:pStyle w:val="BodyText"/>
              <w:keepNext w:val="0"/>
              <w:spacing w:after="80" w:line="252" w:lineRule="auto"/>
              <w:jc w:val="left"/>
            </w:pPr>
            <w:r>
              <w:rPr>
                <w:rFonts w:ascii="Calibri" w:hAnsi="Calibri"/>
                <w:sz w:val="17"/>
              </w:rPr>
              <w:t xml:space="preserve">Causal arrows can coexist with no ontological dependence. Production no longer establishes the Creator–creature interval.</w:t>
            </w:r>
          </w:p>
        </w:tc>
      </w:tr>
      <w:tr>
        <w:tc>
          <w:tcPr>
            <w:tcW w:type="dxa" w:w="3312"/>
          </w:tcPr>
          <w:p>
            <w:pPr>
              <w:pStyle w:val="BodyText"/>
              <w:keepNext w:val="0"/>
              <w:spacing w:after="80" w:line="252" w:lineRule="auto"/>
              <w:jc w:val="left"/>
            </w:pPr>
            <w:r>
              <w:rPr>
                <w:rFonts w:ascii="Calibri" w:hAnsi="Calibri"/>
                <w:sz w:val="17"/>
              </w:rPr>
              <w:t xml:space="preserve">U</w:t>
            </w:r>
          </w:p>
        </w:tc>
        <w:tc>
          <w:tcPr>
            <w:tcW w:type="dxa" w:w="3312"/>
          </w:tcPr>
          <w:p>
            <w:pPr>
              <w:pStyle w:val="BodyText"/>
              <w:keepNext w:val="0"/>
              <w:spacing w:after="80" w:line="252" w:lineRule="auto"/>
              <w:jc w:val="left"/>
            </w:pPr>
            <w:r>
              <w:rPr>
                <w:rFonts w:ascii="Calibri" w:hAnsi="Calibri"/>
                <w:sz w:val="17"/>
              </w:rPr>
              <w:t xml:space="preserve">A source whose actuality is grounded in an actual creature, despite its unlimited mode.</w:t>
            </w:r>
          </w:p>
        </w:tc>
        <w:tc>
          <w:tcPr>
            <w:tcW w:type="dxa" w:w="3312"/>
          </w:tcPr>
          <w:p>
            <w:pPr>
              <w:pStyle w:val="BodyText"/>
              <w:keepNext w:val="0"/>
              <w:spacing w:after="80" w:line="252" w:lineRule="auto"/>
              <w:jc w:val="left"/>
            </w:pPr>
            <w:r>
              <w:rPr>
                <w:rFonts w:ascii="Calibri" w:hAnsi="Calibri"/>
                <w:sz w:val="17"/>
              </w:rPr>
              <w:t xml:space="preserve">An unlimited source may itself depend upon another. A cycle of grounding or divine completion is admitted.</w:t>
            </w:r>
          </w:p>
        </w:tc>
      </w:tr>
      <w:tr>
        <w:tc>
          <w:tcPr>
            <w:tcW w:type="dxa" w:w="3312"/>
          </w:tcPr>
          <w:p>
            <w:pPr>
              <w:pStyle w:val="BodyText"/>
              <w:keepNext w:val="0"/>
              <w:spacing w:after="80" w:line="252" w:lineRule="auto"/>
              <w:jc w:val="left"/>
            </w:pPr>
            <w:r>
              <w:rPr>
                <w:rFonts w:ascii="Calibri" w:hAnsi="Calibri"/>
                <w:sz w:val="17"/>
              </w:rPr>
              <w:t xml:space="preserve">Q</w:t>
            </w:r>
          </w:p>
        </w:tc>
        <w:tc>
          <w:tcPr>
            <w:tcW w:type="dxa" w:w="3312"/>
          </w:tcPr>
          <w:p>
            <w:pPr>
              <w:pStyle w:val="BodyText"/>
              <w:keepNext w:val="0"/>
              <w:spacing w:after="80" w:line="252" w:lineRule="auto"/>
              <w:jc w:val="left"/>
            </w:pPr>
            <w:r>
              <w:rPr>
                <w:rFonts w:ascii="Calibri" w:hAnsi="Calibri"/>
                <w:sz w:val="17"/>
              </w:rPr>
              <w:t xml:space="preserve">An opaque source causes a living effect while no corresponding life can be attributed to the source.</w:t>
            </w:r>
          </w:p>
        </w:tc>
        <w:tc>
          <w:tcPr>
            <w:tcW w:type="dxa" w:w="3312"/>
          </w:tcPr>
          <w:p>
            <w:pPr>
              <w:pStyle w:val="BodyText"/>
              <w:keepNext w:val="0"/>
              <w:spacing w:after="80" w:line="252" w:lineRule="auto"/>
              <w:jc w:val="left"/>
            </w:pPr>
            <w:r>
              <w:rPr>
                <w:rFonts w:ascii="Calibri" w:hAnsi="Calibri"/>
                <w:sz w:val="17"/>
              </w:rPr>
              <w:t xml:space="preserve">An actual causal source can produce the effect’s quality without possessing corresponding perfection. Likeness and manifestation disappear.</w:t>
            </w:r>
          </w:p>
        </w:tc>
      </w:tr>
      <w:tr>
        <w:tc>
          <w:tcPr>
            <w:tcW w:type="dxa" w:w="3312"/>
          </w:tcPr>
          <w:p>
            <w:pPr>
              <w:pStyle w:val="BodyText"/>
              <w:keepNext w:val="0"/>
              <w:spacing w:after="80" w:line="252" w:lineRule="auto"/>
              <w:jc w:val="left"/>
            </w:pPr>
            <w:r>
              <w:rPr>
                <w:rFonts w:ascii="Calibri" w:hAnsi="Calibri"/>
                <w:sz w:val="17"/>
              </w:rPr>
              <w:t xml:space="preserve">KD</w:t>
            </w:r>
          </w:p>
        </w:tc>
        <w:tc>
          <w:tcPr>
            <w:tcW w:type="dxa" w:w="3312"/>
          </w:tcPr>
          <w:p>
            <w:pPr>
              <w:pStyle w:val="BodyText"/>
              <w:keepNext w:val="0"/>
              <w:spacing w:after="80" w:line="252" w:lineRule="auto"/>
              <w:jc w:val="left"/>
            </w:pPr>
            <w:r>
              <w:rPr>
                <w:rFonts w:ascii="Calibri" w:hAnsi="Calibri"/>
                <w:sz w:val="17"/>
              </w:rPr>
              <w:t xml:space="preserve">An uncaused but composite deity. Simplicity does not follow from “uncaused” alone.</w:t>
            </w:r>
          </w:p>
        </w:tc>
        <w:tc>
          <w:tcPr>
            <w:tcW w:type="dxa" w:w="3312"/>
          </w:tcPr>
          <w:p>
            <w:pPr>
              <w:pStyle w:val="BodyText"/>
              <w:keepNext w:val="0"/>
              <w:spacing w:after="80" w:line="252" w:lineRule="auto"/>
              <w:jc w:val="left"/>
            </w:pPr>
            <w:r>
              <w:rPr>
                <w:rFonts w:ascii="Calibri" w:hAnsi="Calibri"/>
                <w:sz w:val="17"/>
              </w:rPr>
              <w:t xml:space="preserve">A composite source can simply be stipulated independent of its own intrinsic parts.</w:t>
            </w:r>
          </w:p>
        </w:tc>
      </w:tr>
      <w:tr>
        <w:tc>
          <w:tcPr>
            <w:tcW w:type="dxa" w:w="3312"/>
          </w:tcPr>
          <w:p>
            <w:pPr>
              <w:pStyle w:val="BodyText"/>
              <w:keepNext w:val="0"/>
              <w:spacing w:after="80" w:line="252" w:lineRule="auto"/>
              <w:jc w:val="left"/>
            </w:pPr>
            <w:r>
              <w:rPr>
                <w:rFonts w:ascii="Calibri" w:hAnsi="Calibri"/>
                <w:sz w:val="17"/>
              </w:rPr>
              <w:t xml:space="preserve">KH</w:t>
            </w:r>
          </w:p>
        </w:tc>
        <w:tc>
          <w:tcPr>
            <w:tcW w:type="dxa" w:w="3312"/>
          </w:tcPr>
          <w:p>
            <w:pPr>
              <w:pStyle w:val="BodyText"/>
              <w:keepNext w:val="0"/>
              <w:spacing w:after="80" w:line="252" w:lineRule="auto"/>
              <w:jc w:val="left"/>
            </w:pPr>
            <w:r>
              <w:rPr>
                <w:rFonts w:ascii="Calibri" w:hAnsi="Calibri"/>
                <w:sz w:val="17"/>
              </w:rPr>
              <w:t xml:space="preserve">A panentheistic constituent-model: the source belongs to the creature without transferring its unlimited capacity.</w:t>
            </w:r>
          </w:p>
        </w:tc>
        <w:tc>
          <w:tcPr>
            <w:tcW w:type="dxa" w:w="3312"/>
          </w:tcPr>
          <w:p>
            <w:pPr>
              <w:pStyle w:val="BodyText"/>
              <w:keepNext w:val="0"/>
              <w:spacing w:after="80" w:line="252" w:lineRule="auto"/>
              <w:jc w:val="left"/>
            </w:pPr>
            <w:r>
              <w:rPr>
                <w:rFonts w:ascii="Calibri" w:hAnsi="Calibri"/>
                <w:sz w:val="17"/>
              </w:rPr>
              <w:t xml:space="preserve">An unlimited source may be stipulated an intrinsic constituent of a finite creature.</w:t>
            </w:r>
          </w:p>
        </w:tc>
      </w:tr>
      <w:tr>
        <w:tc>
          <w:tcPr>
            <w:tcW w:type="dxa" w:w="3312"/>
          </w:tcPr>
          <w:p>
            <w:pPr>
              <w:pStyle w:val="BodyText"/>
              <w:keepNext w:val="0"/>
              <w:spacing w:after="80" w:line="252" w:lineRule="auto"/>
              <w:jc w:val="left"/>
            </w:pPr>
            <w:r>
              <w:rPr>
                <w:rFonts w:ascii="Calibri" w:hAnsi="Calibri"/>
                <w:sz w:val="17"/>
              </w:rPr>
              <w:t xml:space="preserve">FS</w:t>
            </w:r>
          </w:p>
        </w:tc>
        <w:tc>
          <w:tcPr>
            <w:tcW w:type="dxa" w:w="3312"/>
          </w:tcPr>
          <w:p>
            <w:pPr>
              <w:pStyle w:val="BodyText"/>
              <w:keepNext w:val="0"/>
              <w:spacing w:after="80" w:line="252" w:lineRule="auto"/>
              <w:jc w:val="left"/>
            </w:pPr>
            <w:r>
              <w:rPr>
                <w:rFonts w:ascii="Calibri" w:hAnsi="Calibri"/>
                <w:sz w:val="17"/>
              </w:rPr>
              <w:t xml:space="preserve">A finite ultimate artisan: underivation and noncomposition remain, but inexhaustibility does not.</w:t>
            </w:r>
          </w:p>
        </w:tc>
        <w:tc>
          <w:tcPr>
            <w:tcW w:type="dxa" w:w="3312"/>
          </w:tcPr>
          <w:p>
            <w:pPr>
              <w:pStyle w:val="BodyText"/>
              <w:keepNext w:val="0"/>
              <w:spacing w:after="80" w:line="252" w:lineRule="auto"/>
              <w:jc w:val="left"/>
            </w:pPr>
            <w:r>
              <w:rPr>
                <w:rFonts w:ascii="Calibri" w:hAnsi="Calibri"/>
                <w:sz w:val="17"/>
              </w:rPr>
              <w:t xml:space="preserve">An underived, simple, finite source is possible; some finite expression can match its measure.</w:t>
            </w:r>
          </w:p>
        </w:tc>
      </w:tr>
      <w:tr>
        <w:tc>
          <w:tcPr>
            <w:tcW w:type="dxa" w:w="3312"/>
          </w:tcPr>
          <w:p>
            <w:pPr>
              <w:pStyle w:val="BodyText"/>
              <w:keepNext w:val="0"/>
              <w:spacing w:after="80" w:line="252" w:lineRule="auto"/>
              <w:jc w:val="left"/>
            </w:pPr>
            <w:r>
              <w:rPr>
                <w:rFonts w:ascii="Calibri" w:hAnsi="Calibri"/>
                <w:sz w:val="17"/>
              </w:rPr>
              <w:t xml:space="preserve">FC</w:t>
            </w:r>
          </w:p>
        </w:tc>
        <w:tc>
          <w:tcPr>
            <w:tcW w:type="dxa" w:w="3312"/>
          </w:tcPr>
          <w:p>
            <w:pPr>
              <w:pStyle w:val="BodyText"/>
              <w:keepNext w:val="0"/>
              <w:spacing w:after="80" w:line="252" w:lineRule="auto"/>
              <w:jc w:val="left"/>
            </w:pPr>
            <w:r>
              <w:rPr>
                <w:rFonts w:ascii="Calibri" w:hAnsi="Calibri"/>
                <w:sz w:val="17"/>
              </w:rPr>
              <w:t xml:space="preserve">An unlimited derived effect that matches the source’s measure without becoming numerically identical.</w:t>
            </w:r>
          </w:p>
        </w:tc>
        <w:tc>
          <w:tcPr>
            <w:tcW w:type="dxa" w:w="3312"/>
          </w:tcPr>
          <w:p>
            <w:pPr>
              <w:pStyle w:val="BodyText"/>
              <w:keepNext w:val="0"/>
              <w:spacing w:after="80" w:line="252" w:lineRule="auto"/>
              <w:jc w:val="left"/>
            </w:pPr>
            <w:r>
              <w:rPr>
                <w:rFonts w:ascii="Calibri" w:hAnsi="Calibri"/>
                <w:sz w:val="17"/>
              </w:rPr>
              <w:t xml:space="preserve">An other can possess the source’s unlimited measure. Nonidentity survives, but finite non-exhaustion is lost.</w:t>
            </w:r>
          </w:p>
        </w:tc>
      </w:tr>
      <w:tr>
        <w:tc>
          <w:tcPr>
            <w:tcW w:type="dxa" w:w="3312"/>
          </w:tcPr>
          <w:p>
            <w:pPr>
              <w:pStyle w:val="BodyText"/>
              <w:keepNext w:val="0"/>
              <w:spacing w:after="80" w:line="252" w:lineRule="auto"/>
              <w:jc w:val="left"/>
            </w:pPr>
            <w:r>
              <w:rPr>
                <w:rFonts w:ascii="Calibri" w:hAnsi="Calibri"/>
                <w:sz w:val="17"/>
              </w:rPr>
              <w:t xml:space="preserve">X</w:t>
            </w:r>
          </w:p>
        </w:tc>
        <w:tc>
          <w:tcPr>
            <w:tcW w:type="dxa" w:w="3312"/>
          </w:tcPr>
          <w:p>
            <w:pPr>
              <w:pStyle w:val="BodyText"/>
              <w:keepNext w:val="0"/>
              <w:spacing w:after="80" w:line="252" w:lineRule="auto"/>
              <w:jc w:val="left"/>
            </w:pPr>
            <w:r>
              <w:rPr>
                <w:rFonts w:ascii="Calibri" w:hAnsi="Calibri"/>
                <w:sz w:val="17"/>
              </w:rPr>
              <w:t xml:space="preserve">An intrinsically responsive deity. Independence within each possible world does not establish the same intrinsic actuality across different possible worlds.</w:t>
            </w:r>
          </w:p>
        </w:tc>
        <w:tc>
          <w:tcPr>
            <w:tcW w:type="dxa" w:w="3312"/>
          </w:tcPr>
          <w:p>
            <w:pPr>
              <w:pStyle w:val="BodyText"/>
              <w:keepNext w:val="0"/>
              <w:spacing w:after="80" w:line="252" w:lineRule="auto"/>
              <w:jc w:val="left"/>
            </w:pPr>
            <w:r>
              <w:rPr>
                <w:rFonts w:ascii="Calibri" w:hAnsi="Calibri"/>
                <w:sz w:val="17"/>
              </w:rPr>
              <w:t xml:space="preserve">Different created histories may be correlated with different intrinsic states of the source, without those effects grounding the source’s actuality within either possible world.</w:t>
            </w:r>
          </w:p>
        </w:tc>
      </w:tr>
    </w:tbl>
    <w:bookmarkEnd w:id="52"/>
    <w:bookmarkStart w:id="53" w:name="rival-ontology-audit"/>
    <w:p>
      <w:pPr>
        <w:pStyle w:val="Heading3"/>
      </w:pPr>
      <w:r>
        <w:t xml:space="preserve">Rival-ontology audit</w:t>
      </w:r>
    </w:p>
    <w:p>
      <w:pPr>
        <w:pStyle w:val="FirstParagraph"/>
      </w:pPr>
      <w:r>
        <w:rPr>
          <w:b/>
          <w:bCs/>
        </w:rPr>
        <w:t xml:space="preserve">Platonism:</w:t>
      </w:r>
      <w:r>
        <w:t xml:space="preserve"> </w:t>
      </w:r>
      <w:r>
        <w:t xml:space="preserve">an underived actual causal Form inside the domain violates G + CP; inert abstracta or q-reification remain open absent a closure principle.</w:t>
      </w:r>
      <w:r>
        <w:t xml:space="preserve"> </w:t>
      </w:r>
      <w:r>
        <w:rPr>
          <w:b/>
          <w:bCs/>
        </w:rPr>
        <w:t xml:space="preserve">Identity-pantheism:</w:t>
      </w:r>
      <w:r>
        <w:t xml:space="preserve"> </w:t>
      </w:r>
      <w:r>
        <w:t xml:space="preserve">source–effect identity violates CP + U for an actual effect; mode-based substance theories need a further account of inherence.</w:t>
      </w:r>
      <w:r>
        <w:t xml:space="preserve"> </w:t>
      </w:r>
      <w:r>
        <w:rPr>
          <w:b/>
          <w:bCs/>
        </w:rPr>
        <w:t xml:space="preserve">Constituent panentheism:</w:t>
      </w:r>
      <w:r>
        <w:t xml:space="preserve"> </w:t>
      </w:r>
      <w:r>
        <w:t xml:space="preserve">violates KH + FS + FC or KD + U; other meanings of panentheism need separate examination.</w:t>
      </w:r>
      <w:r>
        <w:t xml:space="preserve"> </w:t>
      </w:r>
      <w:r>
        <w:rPr>
          <w:b/>
          <w:bCs/>
        </w:rPr>
        <w:t xml:space="preserve">Occasionalism:</w:t>
      </w:r>
      <w:r>
        <w:t xml:space="preserve"> </w:t>
      </w:r>
      <w:r>
        <w:t xml:space="preserve">remains compatible until secondary powers are asserted.</w:t>
      </w:r>
      <w:r>
        <w:t xml:space="preserve"> </w:t>
      </w:r>
      <w:r>
        <w:rPr>
          <w:b/>
          <w:bCs/>
        </w:rPr>
        <w:t xml:space="preserve">Necessary emanation:</w:t>
      </w:r>
      <w:r>
        <w:t xml:space="preserve"> </w:t>
      </w:r>
      <w:r>
        <w:t xml:space="preserve">satisfies non-exhaustion while violating V.</w:t>
      </w:r>
      <w:r>
        <w:t xml:space="preserve"> </w:t>
      </w:r>
      <w:r>
        <w:rPr>
          <w:b/>
          <w:bCs/>
        </w:rPr>
        <w:t xml:space="preserve">Deism:</w:t>
      </w:r>
      <w:r>
        <w:t xml:space="preserve"> </w:t>
      </w:r>
      <w:r>
        <w:t xml:space="preserve">universal sustaining causality G excludes a causally detached effect, but needs a temporal interpretation to refute merely historical creation.</w:t>
      </w:r>
      <w:r>
        <w:t xml:space="preserve"> </w:t>
      </w:r>
      <w:r>
        <w:rPr>
          <w:b/>
          <w:bCs/>
        </w:rPr>
        <w:t xml:space="preserve">Absolute idealism:</w:t>
      </w:r>
      <w:r>
        <w:t xml:space="preserve"> </w:t>
      </w:r>
      <w:r>
        <w:t xml:space="preserve">is not refuted by vocabulary alone; identity versions fail, but “all effects mental” requires further discrimination.</w:t>
      </w:r>
      <w:r>
        <w:t xml:space="preserve"> </w:t>
      </w:r>
      <w:r>
        <w:rPr>
          <w:b/>
          <w:bCs/>
        </w:rPr>
        <w:t xml:space="preserve">Purely immanent causation:</w:t>
      </w:r>
      <w:r>
        <w:t xml:space="preserve"> </w:t>
      </w:r>
      <w:r>
        <w:t xml:space="preserve">can realize the generic causal grammar; the assumptions of an underived, unlimited source that is no creature’s constituent distinguish the proposed Christian interpretation.</w:t>
      </w:r>
    </w:p>
    <w:bookmarkEnd w:id="53"/>
    <w:bookmarkStart w:id="54" w:name="why-simple-asymmetry-was-removed"/>
    <w:p>
      <w:pPr>
        <w:pStyle w:val="Heading3"/>
      </w:pPr>
      <w:r>
        <w:t xml:space="preserve">Why simple asymmetry was removed</w:t>
      </w:r>
    </w:p>
    <w:p>
      <w:pPr>
        <w:pStyle w:val="FirstParagraph"/>
      </w:pPr>
      <w:r>
        <w:t xml:space="preserve">A generic axiom that all D is asymmetric would be stronger than necessary. For actual source-caused effects, CP and U already establish the needed asymmetry: x depends on g, and g cannot depend on x. The final basis therefore drops global asymmetry. It neither permits a vicious divine–creature explanatory cycle nor unnecessarily rules out every unrelated form of reciprocal creaturely dependence.</w:t>
      </w:r>
    </w:p>
    <w:bookmarkEnd w:id="54"/>
    <w:p>
      <w:pPr>
        <w:pStyle w:val="BodyText"/>
      </w:pPr>
      <w:r>
        <w:t xml:space="preserve">MODAL / THE FREEDOM TEST</w:t>
      </w:r>
    </w:p>
    <w:bookmarkStart w:id="55" w:name="room-for-freedom-is-not-freedom."/>
    <w:p>
      <w:pPr>
        <w:pStyle w:val="Heading2"/>
      </w:pPr>
      <w:r>
        <w:t xml:space="preserve">Room for freedom is not freedom.</w:t>
      </w:r>
    </w:p>
    <w:p>
      <w:pPr>
        <w:pStyle w:val="FirstParagraph"/>
      </w:pPr>
      <w:r>
        <w:t xml:space="preserve">Non-exhaustion defeats one possible necessity argument: no finite effect is an adequate measurement or completion of unlimited actuality. It does not defeat every argument for necessary production.</w:t>
      </w:r>
    </w:p>
    <w:bookmarkEnd w:id="55"/>
    <w:bookmarkStart w:id="56" w:name="a-countermodel"/>
    <w:p>
      <w:pPr>
        <w:pStyle w:val="Heading3"/>
      </w:pPr>
      <w:r>
        <w:t xml:space="preserve">A countermodel</w:t>
      </w:r>
    </w:p>
    <w:p>
      <w:pPr>
        <w:pStyle w:val="FirstParagraph"/>
      </w:pPr>
      <w:r>
        <w:t xml:space="preserve">Let an unlimited source necessarily produce one finite effect at every world. Its mode stays unlimited; the effect stays bounded; neither is part of the other. Every participation clause about measure can hold. Creation is still necessary.</w:t>
      </w:r>
    </w:p>
    <w:bookmarkEnd w:id="56"/>
    <w:bookmarkStart w:id="57" w:name="the-missing-premises"/>
    <w:p>
      <w:pPr>
        <w:pStyle w:val="Heading3"/>
      </w:pPr>
      <w:r>
        <w:t xml:space="preserve">The missing premises</w:t>
      </w:r>
    </w:p>
    <w:p>
      <w:pPr>
        <w:pStyle w:val="FirstParagraph"/>
      </w:pPr>
      <w:r>
        <w:rPr>
          <w:b/>
          <w:bCs/>
        </w:rPr>
        <w:t xml:space="preserve">V:</w:t>
      </w:r>
      <w:r>
        <w:t xml:space="preserve"> </w:t>
      </w:r>
      <w:r>
        <w:t xml:space="preserve">a genuine no-creation alternative with the same source fullness; weaker different-effect worlds may retain one necessary creature.</w:t>
      </w:r>
      <w:r>
        <w:t xml:space="preserve"> </w:t>
      </w:r>
      <w:r>
        <w:rPr>
          <w:b/>
          <w:bCs/>
        </w:rPr>
        <w:t xml:space="preserve">W:</w:t>
      </w:r>
      <w:r>
        <w:t xml:space="preserve"> </w:t>
      </w:r>
      <w:r>
        <w:t xml:space="preserve">intelligent self-determination without intrinsic, external, or unique-maximization necessity. An answer to the modal collapse problem must explain how the same intrinsic divine fullness permits God to will different creations.</w:t>
      </w:r>
    </w:p>
    <w:bookmarkEnd w:id="57"/>
    <w:p>
      <w:pPr>
        <w:pStyle w:val="SourceCode"/>
      </w:pPr>
      <w:r>
        <w:rPr>
          <w:rStyle w:val="VerbatimChar"/>
        </w:rPr>
        <w:t xml:space="preserve">FS + FC ⇏ V</w:t>
      </w:r>
      <w:r>
        <w:br/>
      </w:r>
      <w:r>
        <w:rPr>
          <w:rStyle w:val="VerbatimChar"/>
        </w:rPr>
        <w:t xml:space="preserve">V + X ⇏ W</w:t>
      </w:r>
      <w:r>
        <w:br/>
      </w:r>
      <w:r>
        <w:rPr>
          <w:rStyle w:val="VerbatimChar"/>
        </w:rPr>
        <w:t xml:space="preserve">V + X + W ⇒ intentional selection among live creation alternatives</w:t>
      </w:r>
      <w:r>
        <w:br/>
      </w:r>
      <w:r>
        <w:rPr>
          <w:rStyle w:val="VerbatimChar"/>
        </w:rPr>
        <w:t xml:space="preserve">No claim here resolves every version of the modal-collapse objection.</w:t>
      </w:r>
    </w:p>
    <w:p>
      <w:pPr>
        <w:pStyle w:val="FirstParagraph"/>
      </w:pPr>
      <w:r>
        <w:t xml:space="preserve">The non-exhaustion intuition supplies a</w:t>
      </w:r>
      <w:r>
        <w:t xml:space="preserve"> </w:t>
      </w:r>
      <w:r>
        <w:rPr>
          <w:i/>
          <w:iCs/>
        </w:rPr>
        <w:t xml:space="preserve">negative opening</w:t>
      </w:r>
      <w:r>
        <w:t xml:space="preserve">: finite adequacy does not necessitate the communication. Establishing contingency requires genuine possible alternatives; establishing freedom requires intentional agency. An explanatory account must additionally connect intelligence, goodness, and willing rather than rename unexplained alternatives “choice.”</w:t>
      </w:r>
    </w:p>
    <w:p>
      <w:pPr>
        <w:pStyle w:val="BodyText"/>
      </w:pPr>
      <w:r>
        <w:t xml:space="preserve">05 / THE GENEALOGY</w:t>
      </w:r>
    </w:p>
    <w:bookmarkStart w:id="58" w:name="a-tradition-of-overlapping-solutions."/>
    <w:p>
      <w:pPr>
        <w:pStyle w:val="Heading2"/>
      </w:pPr>
      <w:r>
        <w:t xml:space="preserve">A tradition of overlapping solutions.</w:t>
      </w:r>
    </w:p>
    <w:p>
      <w:pPr>
        <w:pStyle w:val="FirstParagraph"/>
      </w:pPr>
      <w:r>
        <w:t xml:space="preserve">These are material contributions, not a chronology of uniform doctrine. Exact evidence and interpretive limits sit in the linked research dossiers.</w:t>
      </w:r>
    </w:p>
    <w:bookmarkEnd w:id="58"/>
    <w:bookmarkStart w:id="69" w:name="Xf94b9aedb572dc4eec0d727ef4719235aa80cc1"/>
    <w:p>
      <w:pPr>
        <w:pStyle w:val="Heading3"/>
      </w:pPr>
      <w:r>
        <w:t xml:space="preserve">Explore the historical contributions and disagreements</w:t>
      </w:r>
    </w:p>
    <w:p>
      <w:pPr>
        <w:pStyle w:val="FirstParagraph"/>
      </w:pPr>
      <w:r>
        <w:t xml:space="preserve">PHILOSOPHICAL BACKGROUND</w:t>
      </w:r>
    </w:p>
    <w:bookmarkStart w:id="59" w:name="plato-aristotle"/>
    <w:p>
      <w:pPr>
        <w:pStyle w:val="Heading3"/>
      </w:pPr>
      <w:r>
        <w:t xml:space="preserve">Plato &amp; Aristotle</w:t>
      </w:r>
    </w:p>
    <w:p>
      <w:pPr>
        <w:pStyle w:val="FirstParagraph"/>
      </w:pPr>
      <w:r>
        <w:rPr>
          <w:b/>
          <w:bCs/>
        </w:rPr>
        <w:t xml:space="preserve">Contribution.</w:t>
      </w:r>
      <w:r>
        <w:t xml:space="preserve"> </w:t>
      </w:r>
      <w:r>
        <w:t xml:space="preserve">The whole/part problem makes “sharing” dangerous; exemplarity and different causal orders make it intelligible.</w:t>
      </w:r>
    </w:p>
    <w:p>
      <w:pPr>
        <w:pStyle w:val="BodyText"/>
      </w:pPr>
      <w:r>
        <w:t xml:space="preserve">Aristotelian causal priority does not itself deliver Christian ex nihilo or universal sustaining causality.</w:t>
      </w:r>
    </w:p>
    <w:p>
      <w:pPr>
        <w:pStyle w:val="BodyText"/>
      </w:pPr>
      <w:r>
        <w:t xml:space="preserve">Parmenides 130e–131e; Timaeus 28a–29b; Metaphysics Λ.7, 1072b</w:t>
      </w:r>
    </w:p>
    <w:p>
      <w:pPr>
        <w:pStyle w:val="BodyText"/>
      </w:pPr>
      <w:r>
        <w:t xml:space="preserve">PHILOSOPHICAL BACKGROUND</w:t>
      </w:r>
    </w:p>
    <w:bookmarkEnd w:id="59"/>
    <w:bookmarkStart w:id="60" w:name="plotinus-proclus"/>
    <w:p>
      <w:pPr>
        <w:pStyle w:val="Heading3"/>
      </w:pPr>
      <w:r>
        <w:t xml:space="preserve">Plotinus &amp; Proclus</w:t>
      </w:r>
    </w:p>
    <w:p>
      <w:pPr>
        <w:pStyle w:val="FirstParagraph"/>
      </w:pPr>
      <w:r>
        <w:rPr>
          <w:b/>
          <w:bCs/>
        </w:rPr>
        <w:t xml:space="preserve">Contribution.</w:t>
      </w:r>
      <w:r>
        <w:t xml:space="preserve"> </w:t>
      </w:r>
      <w:r>
        <w:t xml:space="preserve">One source, undivided presence, procession and return offer resources for nonpartition and causal excess.</w:t>
      </w:r>
    </w:p>
    <w:p>
      <w:pPr>
        <w:pStyle w:val="BodyText"/>
      </w:pPr>
      <w:r>
        <w:t xml:space="preserve">Necessary procession is a live rival to free creation. Similar vocabulary cannot erase this modal difference.</w:t>
      </w:r>
    </w:p>
    <w:p>
      <w:pPr>
        <w:pStyle w:val="BodyText"/>
      </w:pPr>
      <w:r>
        <w:t xml:space="preserve">Enneads V.2.1; VI.9.3; Elements of Theology props. 23, 26–30</w:t>
      </w:r>
    </w:p>
    <w:p>
      <w:pPr>
        <w:pStyle w:val="BodyText"/>
      </w:pPr>
      <w:r>
        <w:t xml:space="preserve">PATRISTIC RESOURCES</w:t>
      </w:r>
    </w:p>
    <w:bookmarkEnd w:id="60"/>
    <w:bookmarkStart w:id="61" w:name="gregory-of-nyssa-augustine"/>
    <w:p>
      <w:pPr>
        <w:pStyle w:val="Heading3"/>
      </w:pPr>
      <w:r>
        <w:t xml:space="preserve">Gregory of Nyssa &amp; Augustine</w:t>
      </w:r>
    </w:p>
    <w:p>
      <w:pPr>
        <w:pStyle w:val="FirstParagraph"/>
      </w:pPr>
      <w:r>
        <w:rPr>
          <w:b/>
          <w:bCs/>
        </w:rPr>
        <w:t xml:space="preserve">Contribution.</w:t>
      </w:r>
      <w:r>
        <w:t xml:space="preserve"> </w:t>
      </w:r>
      <w:r>
        <w:t xml:space="preserve">Nyssen inexhaustible participation and Augustine’s non-acquired wisdom distinguish received finite perfection from source actuality.</w:t>
      </w:r>
    </w:p>
    <w:p>
      <w:pPr>
        <w:pStyle w:val="BodyText"/>
      </w:pPr>
      <w:r>
        <w:t xml:space="preserve">Epektasis does not become a proof of divine infinity by being renamed “non-exhaustion.” Augustine’s divine ideas are not independent substances.</w:t>
      </w:r>
    </w:p>
    <w:p>
      <w:pPr>
        <w:pStyle w:val="BodyText"/>
      </w:pPr>
      <w:r>
        <w:t xml:space="preserve">Life of Moses II.230–239; City of God XI.10; De diversis quaestionibus 83, q.46</w:t>
      </w:r>
    </w:p>
    <w:p>
      <w:pPr>
        <w:pStyle w:val="BodyText"/>
      </w:pPr>
      <w:r>
        <w:t xml:space="preserve">CAUSAL PRECONTAINMENT / LOGOI</w:t>
      </w:r>
    </w:p>
    <w:bookmarkEnd w:id="61"/>
    <w:bookmarkStart w:id="62" w:name="dionysius-maximus"/>
    <w:p>
      <w:pPr>
        <w:pStyle w:val="Heading3"/>
      </w:pPr>
      <w:r>
        <w:t xml:space="preserve">Dionysius &amp; Maximus</w:t>
      </w:r>
    </w:p>
    <w:p>
      <w:pPr>
        <w:pStyle w:val="FirstParagraph"/>
      </w:pPr>
      <w:r>
        <w:rPr>
          <w:b/>
          <w:bCs/>
        </w:rPr>
        <w:t xml:space="preserve">Contribution.</w:t>
      </w:r>
      <w:r>
        <w:t xml:space="preserve"> </w:t>
      </w:r>
      <w:r>
        <w:t xml:space="preserve">Effects can truly exhibit causal likeness without reproducing the source’s mode. Logoi distinguish intelligible reasons from contingent realization.</w:t>
      </w:r>
    </w:p>
    <w:p>
      <w:pPr>
        <w:pStyle w:val="BodyText"/>
      </w:pPr>
      <w:r>
        <w:t xml:space="preserve">Dionysian procession is not automatically necessitarian. Maximus’s willing logoi are not a many-part divine interior.</w:t>
      </w:r>
    </w:p>
    <w:p>
      <w:pPr>
        <w:pStyle w:val="BodyText"/>
      </w:pPr>
      <w:r>
        <w:t xml:space="preserve">Divine Names II.5, V.8, IX.6; Ambiguum 7, PG 91, 1080A–1085B</w:t>
      </w:r>
    </w:p>
    <w:p>
      <w:pPr>
        <w:pStyle w:val="BodyText"/>
      </w:pPr>
      <w:r>
        <w:t xml:space="preserve">THEOPHANY / ENFOLDING</w:t>
      </w:r>
    </w:p>
    <w:bookmarkEnd w:id="62"/>
    <w:bookmarkStart w:id="63" w:name="eriugena-cusa"/>
    <w:p>
      <w:pPr>
        <w:pStyle w:val="Heading3"/>
      </w:pPr>
      <w:r>
        <w:t xml:space="preserve">Eriugena &amp; Cusa</w:t>
      </w:r>
    </w:p>
    <w:p>
      <w:pPr>
        <w:pStyle w:val="FirstParagraph"/>
      </w:pPr>
      <w:r>
        <w:rPr>
          <w:b/>
          <w:bCs/>
        </w:rPr>
        <w:t xml:space="preserve">Contribution.</w:t>
      </w:r>
      <w:r>
        <w:t xml:space="preserve"> </w:t>
      </w:r>
      <w:r>
        <w:t xml:space="preserve">Manifestation and enfolding explain why source transcendence need not be remoteness.</w:t>
      </w:r>
    </w:p>
    <w:p>
      <w:pPr>
        <w:pStyle w:val="BodyText"/>
      </w:pPr>
      <w:r>
        <w:t xml:space="preserve">Retrieve them only with causal asymmetry and nonconstitution guards. Interpretive pressures toward divine self-constitution must remain visible.</w:t>
      </w:r>
    </w:p>
    <w:p>
      <w:pPr>
        <w:pStyle w:val="BodyText"/>
      </w:pPr>
      <w:r>
        <w:t xml:space="preserve">Periphyseon I.446D, I.455B; De docta ignorantia I.2, II.3</w:t>
      </w:r>
    </w:p>
    <w:p>
      <w:pPr>
        <w:pStyle w:val="BodyText"/>
      </w:pPr>
      <w:r>
        <w:t xml:space="preserve">NONRECEPTIVE PERFECTION / EXEMPLARISM</w:t>
      </w:r>
    </w:p>
    <w:bookmarkEnd w:id="63"/>
    <w:bookmarkStart w:id="64" w:name="anselm-bonaventure"/>
    <w:p>
      <w:pPr>
        <w:pStyle w:val="Heading3"/>
      </w:pPr>
      <w:r>
        <w:t xml:space="preserve">Anselm &amp; Bonaventure</w:t>
      </w:r>
    </w:p>
    <w:p>
      <w:pPr>
        <w:pStyle w:val="FirstParagraph"/>
      </w:pPr>
      <w:r>
        <w:rPr>
          <w:b/>
          <w:bCs/>
        </w:rPr>
        <w:t xml:space="preserve">Contribution.</w:t>
      </w:r>
      <w:r>
        <w:t xml:space="preserve"> </w:t>
      </w:r>
      <w:r>
        <w:t xml:space="preserve">Composition depends on constituents; mutable likeness does not supply the exemplar’s actuality. Vestige, image, and similitude discriminate forms of expression.</w:t>
      </w:r>
    </w:p>
    <w:p>
      <w:pPr>
        <w:pStyle w:val="BodyText"/>
      </w:pPr>
      <w:r>
        <w:t xml:space="preserve">Bonaventure’s diffusion of goodness concerns necessary trinitarian fecundity in VI.2; it is not a proof of necessary creation.</w:t>
      </w:r>
    </w:p>
    <w:p>
      <w:pPr>
        <w:pStyle w:val="BodyText"/>
      </w:pPr>
      <w:r>
        <w:t xml:space="preserve">Monologion 17, 31, 34; Itinerarium II.11–13, III.1–3, VI.2</w:t>
      </w:r>
    </w:p>
    <w:p>
      <w:pPr>
        <w:pStyle w:val="BodyText"/>
      </w:pPr>
      <w:r>
        <w:t xml:space="preserve">INTELLIGIBILITY / CONTINGENT ACTUALIZATION</w:t>
      </w:r>
    </w:p>
    <w:bookmarkEnd w:id="64"/>
    <w:bookmarkStart w:id="65" w:name="henry-of-ghent-scotus"/>
    <w:p>
      <w:pPr>
        <w:pStyle w:val="Heading3"/>
      </w:pPr>
      <w:r>
        <w:t xml:space="preserve">Henry of Ghent &amp; Scotus</w:t>
      </w:r>
    </w:p>
    <w:p>
      <w:pPr>
        <w:pStyle w:val="FirstParagraph"/>
      </w:pPr>
      <w:r>
        <w:rPr>
          <w:b/>
          <w:bCs/>
        </w:rPr>
        <w:t xml:space="preserve">Contribution.</w:t>
      </w:r>
      <w:r>
        <w:t xml:space="preserve"> </w:t>
      </w:r>
      <w:r>
        <w:t xml:space="preserve">Possible intelligibility and actual production need not be one operation. Divine cognition and volition demand careful modal distinctions.</w:t>
      </w:r>
    </w:p>
    <w:p>
      <w:pPr>
        <w:pStyle w:val="BodyText"/>
      </w:pPr>
      <w:r>
        <w:t xml:space="preserve">Henry’s necessary possible-essence hierarchy and Scotus’s formal distinction are not interchangeable. Univocity of being is not a common natural genus.</w:t>
      </w:r>
    </w:p>
    <w:p>
      <w:pPr>
        <w:pStyle w:val="BodyText"/>
      </w:pPr>
      <w:r>
        <w:t xml:space="preserve">Henry: Summa art.21 q.4, art.24 q.3; Scotus: Ordinatio I d.2 p.1 qq.1–2, I d.35, I d.39</w:t>
      </w:r>
    </w:p>
    <w:p>
      <w:pPr>
        <w:pStyle w:val="BodyText"/>
      </w:pPr>
      <w:r>
        <w:t xml:space="preserve">CAUSALITY / RECEIVED ESSE / RELATIONS</w:t>
      </w:r>
    </w:p>
    <w:bookmarkEnd w:id="65"/>
    <w:bookmarkStart w:id="66" w:name="aquinas"/>
    <w:p>
      <w:pPr>
        <w:pStyle w:val="Heading3"/>
      </w:pPr>
      <w:r>
        <w:t xml:space="preserve">Aquinas</w:t>
      </w:r>
    </w:p>
    <w:p>
      <w:pPr>
        <w:pStyle w:val="FirstParagraph"/>
      </w:pPr>
      <w:r>
        <w:rPr>
          <w:b/>
          <w:bCs/>
        </w:rPr>
        <w:t xml:space="preserve">Contribution.</w:t>
      </w:r>
      <w:r>
        <w:t xml:space="preserve"> </w:t>
      </w:r>
      <w:r>
        <w:t xml:space="preserve">Necessary beings can still be caused; real creaturely powers can operate under universal divine causality; recipient mode does not migrate into the source.</w:t>
      </w:r>
    </w:p>
    <w:p>
      <w:pPr>
        <w:pStyle w:val="BodyText"/>
      </w:pPr>
      <w:r>
        <w:t xml:space="preserve">Participation in esse is a strong witness, not the compulsory vocabulary for the entire tradition. Mixed relations require his relational framework.</w:t>
      </w:r>
    </w:p>
    <w:p>
      <w:pPr>
        <w:pStyle w:val="BodyText"/>
      </w:pPr>
      <w:r>
        <w:t xml:space="preserve">ST I qq.3–4, 13, 15; q.44 a.1 ad2; q.45 a.3; q.105 a.5</w:t>
      </w:r>
    </w:p>
    <w:p>
      <w:pPr>
        <w:pStyle w:val="BodyText"/>
      </w:pPr>
      <w:r>
        <w:t xml:space="preserve">DISTINCTION / ANALOGY</w:t>
      </w:r>
    </w:p>
    <w:bookmarkEnd w:id="66"/>
    <w:bookmarkStart w:id="67" w:name="damascene-palamas-przywara"/>
    <w:p>
      <w:pPr>
        <w:pStyle w:val="Heading3"/>
      </w:pPr>
      <w:r>
        <w:t xml:space="preserve">Damascene, Palamas &amp; Przywara</w:t>
      </w:r>
    </w:p>
    <w:p>
      <w:pPr>
        <w:pStyle w:val="FirstParagraph"/>
      </w:pPr>
      <w:r>
        <w:rPr>
          <w:b/>
          <w:bCs/>
        </w:rPr>
        <w:t xml:space="preserve">Contribution.</w:t>
      </w:r>
      <w:r>
        <w:t xml:space="preserve"> </w:t>
      </w:r>
      <w:r>
        <w:t xml:space="preserve">Image kinds, real uncreated communication, and likeness within greater dissimilarity test whether the common grammar is broad enough.</w:t>
      </w:r>
    </w:p>
    <w:p>
      <w:pPr>
        <w:pStyle w:val="BodyText"/>
      </w:pPr>
      <w:r>
        <w:t xml:space="preserve">Noncomposition is not “no real distinction whatsoever.” Essence–energies and scholastic formalities cannot be erased by a blanket claim that every difference concerns only the effects.</w:t>
      </w:r>
    </w:p>
    <w:p>
      <w:pPr>
        <w:pStyle w:val="BodyText"/>
      </w:pPr>
      <w:r>
        <w:t xml:space="preserve">Damascene: On Holy Images III, image-types; Palamas: Triads III.2; Przywara: Analogia Entis</w:t>
      </w:r>
    </w:p>
    <w:p>
      <w:pPr>
        <w:pStyle w:val="BodyText"/>
      </w:pPr>
      <w:r>
        <w:t xml:space="preserve">DEVELOPMENT AS ANALOGICAL METHOD</w:t>
      </w:r>
    </w:p>
    <w:bookmarkEnd w:id="67"/>
    <w:bookmarkStart w:id="68" w:name="newman"/>
    <w:p>
      <w:pPr>
        <w:pStyle w:val="Heading3"/>
      </w:pPr>
      <w:r>
        <w:t xml:space="preserve">Newman</w:t>
      </w:r>
    </w:p>
    <w:p>
      <w:pPr>
        <w:pStyle w:val="FirstParagraph"/>
      </w:pPr>
      <w:r>
        <w:rPr>
          <w:b/>
          <w:bCs/>
        </w:rPr>
        <w:t xml:space="preserve">Contribution.</w:t>
      </w:r>
      <w:r>
        <w:t xml:space="preserve"> </w:t>
      </w:r>
      <w:r>
        <w:t xml:space="preserve">Preservation, continuity, assimilation, sequence, anticipation, conservation, and chronic vigour discipline constructive synthesis.</w:t>
      </w:r>
    </w:p>
    <w:p>
      <w:pPr>
        <w:pStyle w:val="BodyText"/>
      </w:pPr>
      <w:r>
        <w:t xml:space="preserve">A new system cannot demonstrate centuries of chronic vigour. Explanatory fruitfulness is a provisional adaptation, not Newman’s exact seventh note.</w:t>
      </w:r>
    </w:p>
    <w:p>
      <w:pPr>
        <w:pStyle w:val="BodyText"/>
      </w:pPr>
      <w:r>
        <w:t xml:space="preserve">Essay on Development, ch. V, opening §4 and §§I–VII</w:t>
      </w:r>
    </w:p>
    <w:bookmarkEnd w:id="68"/>
    <w:bookmarkEnd w:id="69"/>
    <w:p>
      <w:pPr>
        <w:pStyle w:val="BodyText"/>
      </w:pPr>
      <w:hyperlink r:id="rId70">
        <w:r>
          <w:rPr>
            <w:rStyle w:val="Hyperlink"/>
          </w:rPr>
          <w:t xml:space="preserve">Ancient &amp; patristic dossier →</w:t>
        </w:r>
      </w:hyperlink>
      <w:hyperlink r:id="rId71">
        <w:r>
          <w:rPr>
            <w:rStyle w:val="Hyperlink"/>
          </w:rPr>
          <w:t xml:space="preserve">Eastern / theophanic dossier →</w:t>
        </w:r>
      </w:hyperlink>
      <w:hyperlink r:id="rId72">
        <w:r>
          <w:rPr>
            <w:rStyle w:val="Hyperlink"/>
          </w:rPr>
          <w:t xml:space="preserve">Latin exemplarism dossier →</w:t>
        </w:r>
      </w:hyperlink>
      <w:hyperlink r:id="rId73">
        <w:r>
          <w:rPr>
            <w:rStyle w:val="Hyperlink"/>
          </w:rPr>
          <w:t xml:space="preserve">Aquinas, Scotus &amp; Newman dossier →</w:t>
        </w:r>
      </w:hyperlink>
    </w:p>
    <w:p>
      <w:pPr>
        <w:pStyle w:val="BodyText"/>
      </w:pPr>
      <w:r>
        <w:t xml:space="preserve">METHOD / DOCTRINE &amp; DEVELOPMENT</w:t>
      </w:r>
    </w:p>
    <w:bookmarkStart w:id="74" w:name="continuity-without-forced-agreement."/>
    <w:p>
      <w:pPr>
        <w:pStyle w:val="Heading2"/>
      </w:pPr>
      <w:r>
        <w:t xml:space="preserve">Continuity without forced agreement.</w:t>
      </w:r>
    </w:p>
    <w:p>
      <w:pPr>
        <w:pStyle w:val="FirstParagraph"/>
      </w:pPr>
      <w:r>
        <w:t xml:space="preserve">A metaphysical reconstruction can preserve Christian commitments without becoming a defined ecclesial doctrine. Newman supplies an analogical discipline, not retrospective authorization.</w:t>
      </w:r>
    </w:p>
    <w:bookmarkEnd w:id="74"/>
    <w:bookmarkStart w:id="75" w:name="the-broad-christian-constraints"/>
    <w:p>
      <w:pPr>
        <w:pStyle w:val="Heading3"/>
      </w:pPr>
      <w:r>
        <w:t xml:space="preserve">The broad Christian constraints</w:t>
      </w:r>
    </w:p>
    <w:p>
      <w:pPr>
        <w:pStyle w:val="FirstParagraph"/>
      </w:pPr>
      <w:r>
        <w:t xml:space="preserve">Creator–creature distinction; ex nihilo; divine non-dependence; real creaturely goodness; divine transcendence and causality; creation by intelligent willing; distinction without pantheistic identity. These constrain a Christian interpretation. The nine-clause calculus does not independently demonstrate them all.</w:t>
      </w:r>
    </w:p>
    <w:bookmarkEnd w:id="75"/>
    <w:bookmarkStart w:id="76" w:name="the-historically-variable-explanations"/>
    <w:p>
      <w:pPr>
        <w:pStyle w:val="Heading3"/>
      </w:pPr>
      <w:r>
        <w:t xml:space="preserve">The historically variable explanations</w:t>
      </w:r>
    </w:p>
    <w:p>
      <w:pPr>
        <w:pStyle w:val="FirstParagraph"/>
      </w:pPr>
      <w:r>
        <w:t xml:space="preserve">Essence–esse composition, logoi, rationes, formalities, essence–energies, models of analogy, and classifications of relations are explanatory architectures. They may genuinely conflict. The shared grammar must not assume away the disagreement.</w:t>
      </w:r>
    </w:p>
    <w:bookmarkEnd w:id="76"/>
    <w:bookmarkStart w:id="77" w:name="newman-style-assessment"/>
    <w:p>
      <w:pPr>
        <w:pStyle w:val="Heading3"/>
      </w:pPr>
      <w:r>
        <w:t xml:space="preserve">NEWMAN-STYLE ASSESSMENT</w:t>
      </w:r>
    </w:p>
    <w:p>
      <w:pPr>
        <w:pStyle w:val="FirstParagraph"/>
      </w:pPr>
      <w:r>
        <w:rPr>
          <w:b/>
          <w:bCs/>
        </w:rPr>
        <w:t xml:space="preserve">Preservation of type</w:t>
      </w:r>
      <w:r>
        <w:t xml:space="preserve">Preserves finite goodness caused by God and God’s independence; a provisional pass.</w:t>
      </w:r>
    </w:p>
    <w:p>
      <w:pPr>
        <w:pStyle w:val="BodyText"/>
      </w:pPr>
      <w:r>
        <w:rPr>
          <w:b/>
          <w:bCs/>
        </w:rPr>
        <w:t xml:space="preserve">Continuity of principles</w:t>
      </w:r>
      <w:r>
        <w:t xml:space="preserve">Conserves distinction, real causality, and nonpartition. Infinity and freedom remain explicit commitments.</w:t>
      </w:r>
    </w:p>
    <w:p>
      <w:pPr>
        <w:pStyle w:val="BodyText"/>
      </w:pPr>
      <w:r>
        <w:rPr>
          <w:b/>
          <w:bCs/>
        </w:rPr>
        <w:t xml:space="preserve">Assimilation</w:t>
      </w:r>
      <w:r>
        <w:t xml:space="preserve">Integrates exemplar, mode, grounding, and expression without equating formalities with energies.</w:t>
      </w:r>
    </w:p>
    <w:p>
      <w:pPr>
        <w:pStyle w:val="BodyText"/>
      </w:pPr>
      <w:r>
        <w:rPr>
          <w:b/>
          <w:bCs/>
        </w:rPr>
        <w:t xml:space="preserve">Logical sequence</w:t>
      </w:r>
      <w:r>
        <w:t xml:space="preserve">Makes bridges visible and drops redundant generic asymmetry. This is a constructive sequence, not a historical proof.</w:t>
      </w:r>
    </w:p>
    <w:p>
      <w:pPr>
        <w:pStyle w:val="BodyText"/>
      </w:pPr>
      <w:r>
        <w:rPr>
          <w:b/>
          <w:bCs/>
        </w:rPr>
        <w:t xml:space="preserve">Anticipation</w:t>
      </w:r>
      <w:r>
        <w:t xml:space="preserve">Antecedent texts anticipate several distinctions, not this exact formal vocabulary.</w:t>
      </w:r>
    </w:p>
    <w:p>
      <w:pPr>
        <w:pStyle w:val="BodyText"/>
      </w:pPr>
      <w:r>
        <w:rPr>
          <w:b/>
          <w:bCs/>
        </w:rPr>
        <w:t xml:space="preserve">Conservative action</w:t>
      </w:r>
      <w:r>
        <w:t xml:space="preserve">Clarifies inherited achievements without attributing the synthesis backward.</w:t>
      </w:r>
    </w:p>
    <w:p>
      <w:pPr>
        <w:pStyle w:val="BodyText"/>
      </w:pPr>
      <w:r>
        <w:rPr>
          <w:b/>
          <w:bCs/>
        </w:rPr>
        <w:t xml:space="preserve">Chronic vigour</w:t>
      </w:r>
      <w:r>
        <w:t xml:space="preserve">Not demonstrated for a new system. Rival-model stability and explanatory fruitfulness are only provisional substitutes.</w:t>
      </w:r>
    </w:p>
    <w:p>
      <w:pPr>
        <w:pStyle w:val="BodyText"/>
      </w:pPr>
      <w:r>
        <w:t xml:space="preserve">Verdict: a defensible</w:t>
      </w:r>
      <w:r>
        <w:t xml:space="preserve"> </w:t>
      </w:r>
      <w:r>
        <w:rPr>
          <w:b/>
          <w:bCs/>
        </w:rPr>
        <w:t xml:space="preserve">candidate development of an explanatory grammar</w:t>
      </w:r>
      <w:r>
        <w:t xml:space="preserve">, with explicit unresolved tensions. It is neither a demonstration that all historical models agree nor an ecclesial claim that this system is defined doctrine.</w:t>
      </w:r>
    </w:p>
    <w:bookmarkEnd w:id="77"/>
    <w:p>
      <w:pPr>
        <w:pStyle w:val="BodyText"/>
      </w:pPr>
      <w:r>
        <w:t xml:space="preserve">06 / WHERE EXPLANATION FINALLY STOPS</w:t>
      </w:r>
    </w:p>
    <w:bookmarkStart w:id="78" w:name="X79a9dd9e8f4e41111daf947d72a30244ca5dc40"/>
    <w:p>
      <w:pPr>
        <w:pStyle w:val="Heading2"/>
      </w:pPr>
      <w:r>
        <w:t xml:space="preserve">Conceptual recursion.</w:t>
      </w:r>
      <w:r>
        <w:br/>
      </w:r>
      <w:r>
        <w:t xml:space="preserve">Ontological asymmetry.</w:t>
      </w:r>
    </w:p>
    <w:p>
      <w:pPr>
        <w:pStyle w:val="FirstParagraph"/>
      </w:pPr>
      <w:r>
        <w:t xml:space="preserve">The proposed circle—actuality → reception → measure → participation → source → unreceived actuality—can organize inquiry. It cannot replace the argument that the source exists or the principles connecting these categories.</w:t>
      </w:r>
    </w:p>
    <w:bookmarkEnd w:id="78"/>
    <w:bookmarkStart w:id="79" w:name="four-different-circles"/>
    <w:p>
      <w:pPr>
        <w:pStyle w:val="Heading3"/>
      </w:pPr>
      <w:r>
        <w:t xml:space="preserve">Four different circles</w:t>
      </w:r>
    </w:p>
    <w:p>
      <w:pPr>
        <w:pStyle w:val="FirstParagraph"/>
      </w:pPr>
      <w:r>
        <w:rPr>
          <w:b/>
          <w:bCs/>
        </w:rPr>
        <w:t xml:space="preserve">Definitional:</w:t>
      </w:r>
      <w:r>
        <w:t xml:space="preserve"> </w:t>
      </w:r>
      <w:r>
        <w:t xml:space="preserve">A defined by P and P by A is vicious unless independently grounded. Here C, D, H, K and J are primitive; A is defined noncircularly by H.</w:t>
      </w:r>
      <w:r>
        <w:t xml:space="preserve"> </w:t>
      </w:r>
      <w:r>
        <w:rPr>
          <w:b/>
          <w:bCs/>
        </w:rPr>
        <w:t xml:space="preserve">Epistemic:</w:t>
      </w:r>
      <w:r>
        <w:t xml:space="preserve"> </w:t>
      </w:r>
      <w:r>
        <w:t xml:space="preserve">reasoning from effects to a source and back can be justified only if the premises have independent warrant.</w:t>
      </w:r>
    </w:p>
    <w:bookmarkEnd w:id="79"/>
    <w:bookmarkStart w:id="80" w:name="where-explanation-terminates"/>
    <w:p>
      <w:pPr>
        <w:pStyle w:val="Heading3"/>
      </w:pPr>
      <w:r>
        <w:t xml:space="preserve">Where explanation terminates</w:t>
      </w:r>
    </w:p>
    <w:p>
      <w:pPr>
        <w:pStyle w:val="FirstParagraph"/>
      </w:pPr>
      <w:r>
        <w:rPr>
          <w:b/>
          <w:bCs/>
        </w:rPr>
        <w:t xml:space="preserve">Explanatory:</w:t>
      </w:r>
      <w:r>
        <w:t xml:space="preserve"> </w:t>
      </w:r>
      <w:r>
        <w:t xml:space="preserve">mutual conceptual illumination is not a productive explanation.</w:t>
      </w:r>
      <w:r>
        <w:t xml:space="preserve"> </w:t>
      </w:r>
      <w:r>
        <w:rPr>
          <w:b/>
          <w:bCs/>
        </w:rPr>
        <w:t xml:space="preserve">Ontological:</w:t>
      </w:r>
      <w:r>
        <w:t xml:space="preserve"> </w:t>
      </w:r>
      <w:r>
        <w:t xml:space="preserve">CP + U forbid explaining divine actuality by the very effects whose actuality it grounds. Underivation terminates a dependence inquiry; it does not explain away actuality itself.</w:t>
      </w:r>
    </w:p>
    <w:bookmarkEnd w:id="80"/>
    <w:p>
      <w:pPr>
        <w:pStyle w:val="BodyText"/>
      </w:pPr>
      <w:r>
        <w:t xml:space="preserve">“Unreceived actuality” is not another stuff placed behind actuality. It names a negative dependence status of an actual source. Whether actuality is primitive, intelligible, and necessarily instantiated cannot be settled by that name.</w:t>
      </w:r>
    </w:p>
    <w:p>
      <w:pPr>
        <w:pStyle w:val="BodyText"/>
      </w:pPr>
      <w:r>
        <w:t xml:space="preserve">The best verdict is</w:t>
      </w:r>
      <w:r>
        <w:t xml:space="preserve"> </w:t>
      </w:r>
      <w:r>
        <w:rPr>
          <w:b/>
          <w:bCs/>
        </w:rPr>
        <w:t xml:space="preserve">a network of constrained primitives with an asymmetric explanatory endpoint</w:t>
      </w:r>
      <w:r>
        <w:t xml:space="preserve">. No benign circle is needed as a proof. Actuality remains primitive in H’s real realization, while A is convenient notation. Causation, quality, constituency, and modality cannot be explained merely by hiding them inside a sufficiently strong “dependence” predicate.</w:t>
      </w:r>
    </w:p>
    <w:bookmarkStart w:id="81" w:name="the-third-way"/>
    <w:p>
      <w:pPr>
        <w:pStyle w:val="Heading3"/>
      </w:pPr>
      <w:r>
        <w:t xml:space="preserve">THE THIRD WAY</w:t>
      </w:r>
    </w:p>
    <w:p>
      <w:pPr>
        <w:pStyle w:val="FirstParagraph"/>
      </w:pPr>
      <w:r>
        <w:t xml:space="preserve">Creator and creature are genuinely different. The core of participation is real dependent possession according to the recipient’s mode. With the additional causal, perfection, constitution, and source principles defended, that core supports likeness without common genus, presence without constituency, and communication without partition. Agency and finality then extend the account rather than being hidden in its definition. The distinctive result is an asymmetrical relation in which dependence and genuine creaturely reality belong together.</w:t>
      </w:r>
    </w:p>
    <w:p>
      <w:pPr>
        <w:pStyle w:val="BodyText"/>
      </w:pPr>
      <w:r>
        <w:t xml:space="preserve">A finite being can receive real actuality and express its source in its own mode, while the source remains undivided and uncompleted. The receiver’s measure measures the reception. It does not measure the source.</w:t>
      </w:r>
    </w:p>
    <w:bookmarkEnd w:id="81"/>
    <w:bookmarkStart w:id="84" w:name="the-smallest-honest-formal-statement"/>
    <w:p>
      <w:pPr>
        <w:pStyle w:val="Heading3"/>
      </w:pPr>
      <w:r>
        <w:t xml:space="preserve">THE SMALLEST HONEST FORMAL STATEMENT</w:t>
      </w:r>
    </w:p>
    <w:p>
      <w:pPr>
        <w:pStyle w:val="SourceCode"/>
      </w:pPr>
      <w:r>
        <w:rPr>
          <w:rStyle w:val="VerbatimChar"/>
        </w:rPr>
        <w:t xml:space="preserve">Signature: C, D, H, K, J; identity, worlds, q-indices, mode order.</w:t>
      </w:r>
      <w:r>
        <w:br/>
      </w:r>
      <w:r>
        <w:rPr>
          <w:rStyle w:val="VerbatimChar"/>
        </w:rPr>
        <w:t xml:space="preserve">A(x) := ∃m H(x,e,m); μₑ(x) := its mode.</w:t>
      </w:r>
      <w:r>
        <w:br/>
      </w:r>
      <w:r>
        <w:rPr>
          <w:rStyle w:val="VerbatimChar"/>
        </w:rPr>
        <w:t xml:space="preserve">Conditional base: G ∧ CP ∧ U ∧ Q ∧ KD ∧ KH ∧ FS ∧ FC ∧ X.</w:t>
      </w:r>
      <w:r>
        <w:br/>
      </w:r>
      <w:r>
        <w:rPr>
          <w:rStyle w:val="VerbatimChar"/>
        </w:rPr>
        <w:t xml:space="preserve">P(x,g,q) := C(g,x,q) ∧ D(x,g,q) ∧ ∃m H(x,q,m).</w:t>
      </w:r>
      <w:r>
        <w:br/>
      </w:r>
      <w:r>
        <w:rPr>
          <w:rStyle w:val="VerbatimChar"/>
        </w:rPr>
        <w:t xml:space="preserve">P(x,g,q) ⇒ L(x,g,q), by Q.</w:t>
      </w:r>
      <w:r>
        <w:br/>
      </w:r>
      <w:r>
        <w:rPr>
          <w:rStyle w:val="VerbatimChar"/>
        </w:rPr>
        <w:t xml:space="preserve">P(x,g,e) ⇒ x ≠ g, by CP + U.</w:t>
      </w:r>
      <w:r>
        <w:br/>
      </w:r>
      <w:r>
        <w:rPr>
          <w:rStyle w:val="VerbatimChar"/>
        </w:rPr>
        <w:t xml:space="preserve">A(x) ∧ x ≠ g ⇒ μₑ(x) &lt; μₑ(g), by FS + FC.</w:t>
      </w:r>
      <w:r>
        <w:br/>
      </w:r>
      <w:r>
        <w:rPr>
          <w:rStyle w:val="VerbatimChar"/>
        </w:rPr>
        <w:t xml:space="preserve">Strong no-genus: add N. Universal finite contingency: add V. Freedom: add W.</w:t>
      </w:r>
      <w:r>
        <w:br/>
      </w:r>
      <w:r>
        <w:rPr>
          <w:rStyle w:val="VerbatimChar"/>
        </w:rPr>
        <w:t xml:space="preserve">Actual secondary agency and ex nihilo require further defended premises.</w:t>
      </w:r>
    </w:p>
    <w:p>
      <w:pPr>
        <w:pStyle w:val="FirstParagraph"/>
      </w:pPr>
      <w:hyperlink r:id="rId82">
        <w:r>
          <w:rPr>
            <w:rStyle w:val="Hyperlink"/>
          </w:rPr>
          <w:t xml:space="preserve">Download the complete core report →</w:t>
        </w:r>
      </w:hyperlink>
      <w:hyperlink r:id="rId83">
        <w:r>
          <w:rPr>
            <w:rStyle w:val="Hyperlink"/>
          </w:rPr>
          <w:t xml:space="preserve">Formal reconstruction &amp; witnesses →</w:t>
        </w:r>
      </w:hyperlink>
    </w:p>
    <w:bookmarkEnd w:id="84"/>
    <w:p>
      <w:pPr>
        <w:pStyle w:val="BodyText"/>
      </w:pPr>
      <w:r>
        <w:t xml:space="preserve">Q&amp;A / DIRECT ANSWERS</w:t>
      </w:r>
    </w:p>
    <w:bookmarkStart w:id="85" w:name="questions-answers"/>
    <w:p>
      <w:pPr>
        <w:pStyle w:val="Heading2"/>
      </w:pPr>
      <w:r>
        <w:t xml:space="preserve">Questions &amp; answers</w:t>
      </w:r>
    </w:p>
    <w:p>
      <w:pPr>
        <w:pStyle w:val="FirstParagraph"/>
      </w:pPr>
      <w:r>
        <w:t xml:space="preserve">From God, like God, and genuinely other: direct answers to the participation questions.</w:t>
      </w:r>
    </w:p>
    <w:bookmarkEnd w:id="85"/>
    <w:bookmarkStart w:id="94" w:name="Xb24c90beec6ff5a1d6c742bde6aeb41090f93f4"/>
    <w:p>
      <w:pPr>
        <w:pStyle w:val="Heading3"/>
      </w:pPr>
      <w:r>
        <w:t xml:space="preserve">01</w:t>
      </w:r>
      <w:r>
        <w:t xml:space="preserve"> </w:t>
      </w:r>
      <w:r>
        <w:t xml:space="preserve">/</w:t>
      </w:r>
      <w:r>
        <w:t xml:space="preserve"> </w:t>
      </w:r>
      <w:r>
        <w:t xml:space="preserve">How can a creature be genuinely from God without being a piece of God?</w:t>
      </w:r>
      <w:r>
        <w:t xml:space="preserve">+</w:t>
      </w:r>
    </w:p>
    <w:p>
      <w:pPr>
        <w:pStyle w:val="FirstParagraph"/>
      </w:pPr>
      <w:r>
        <w:t xml:space="preserve">A creature possesses an actuality that God causes and sustains. That actuality is genuinely the creature's: the received life is its life, and a received capacity can be its capacity to exercise. Participation names this real, dependent possession. Dependence answers where the actuality comes from; possession answers whose actuality it is. Neither answer cancels the other. A source can therefore sustain another reality without turning it into a portion of its own substance.</w:t>
      </w:r>
    </w:p>
    <w:p>
      <w:pPr>
        <w:pStyle w:val="BodyText"/>
      </w:pPr>
      <w:r>
        <w:t xml:space="preserve">Nonpartition requires an argument in addition to that definition. If proper constituents make their whole depend upon them, absolute underivation excludes creatures as constituents of God. A separate capacity principle excludes unlimited divine actuality as a constituent of a bounded creature. On these premises, sustaining presence means present causality rather than spatial proximity. The creature's own exercise then requires another bridge: its received power must genuinely contribute to what occurs. Participation supplies the basis for secondary agency; it does not establish agency by naming it.</w:t>
      </w:r>
    </w:p>
    <w:bookmarkStart w:id="86" w:name="the-premises-behind-this-answer"/>
    <w:p>
      <w:pPr>
        <w:pStyle w:val="Heading3"/>
      </w:pPr>
      <w:r>
        <w:t xml:space="preserve">The premises behind this answer</w:t>
      </w:r>
    </w:p>
    <w:bookmarkEnd w:id="86"/>
    <w:bookmarkStart w:id="90" w:name="causation-and-constitution"/>
    <w:p>
      <w:pPr>
        <w:pStyle w:val="Heading3"/>
      </w:pPr>
      <w:r>
        <w:t xml:space="preserve">Causation and constitution</w:t>
      </w:r>
    </w:p>
    <w:p>
      <w:pPr>
        <w:pStyle w:val="FirstParagraph"/>
      </w:pPr>
      <w:r>
        <w:t xml:space="preserve">Uses the source assumptions and constitution bridges already stated in Part I.</w:t>
      </w:r>
    </w:p>
    <w:bookmarkStart w:id="87" w:name="adopt-these-premises"/>
    <w:p>
      <w:pPr>
        <w:pStyle w:val="Heading4"/>
      </w:pPr>
      <w:r>
        <w:t xml:space="preserve">Adopt these premises</w:t>
      </w:r>
    </w:p>
    <w:p>
      <w:pPr>
        <w:pStyle w:val="FirstParagraph"/>
      </w:pPr>
      <w:r>
        <w:rPr>
          <w:b/>
          <w:bCs/>
        </w:rPr>
        <w:t xml:space="preserve">1.</w:t>
      </w:r>
      <w:r>
        <w:t xml:space="preserve"> </w:t>
      </w:r>
      <w:r>
        <w:t xml:space="preserve">God presently sustains created actuality, depends on nothing for his actuality, and is unlimited in the respect in which creatures are bounded.</w:t>
      </w:r>
    </w:p>
    <w:p>
      <w:pPr>
        <w:pStyle w:val="BodyText"/>
      </w:pPr>
      <w:r>
        <w:rPr>
          <w:b/>
          <w:bCs/>
        </w:rPr>
        <w:t xml:space="preserve">2.</w:t>
      </w:r>
      <w:r>
        <w:t xml:space="preserve"> </w:t>
      </w:r>
      <w:r>
        <w:t xml:space="preserve">Sustaining causation grounds the effect's actuality in its cause; proper intrinsic constituents ground the actuality of the whole they constitute.</w:t>
      </w:r>
    </w:p>
    <w:p>
      <w:pPr>
        <w:pStyle w:val="BodyText"/>
      </w:pPr>
      <w:r>
        <w:rPr>
          <w:b/>
          <w:bCs/>
        </w:rPr>
        <w:t xml:space="preserve">3.</w:t>
      </w:r>
      <w:r>
        <w:t xml:space="preserve"> </w:t>
      </w:r>
      <w:r>
        <w:t xml:space="preserve">An intrinsic constituent cannot exceed its whole in the relevant capacity for actuality.</w:t>
      </w:r>
    </w:p>
    <w:bookmarkEnd w:id="87"/>
    <w:bookmarkStart w:id="88" w:name="why-adopt-them"/>
    <w:p>
      <w:pPr>
        <w:pStyle w:val="Heading4"/>
      </w:pPr>
      <w:r>
        <w:t xml:space="preserve">Why adopt them?</w:t>
      </w:r>
    </w:p>
    <w:p>
      <w:pPr>
        <w:pStyle w:val="FirstParagraph"/>
      </w:pPr>
      <w:r>
        <w:t xml:space="preserve">Producing or sustaining something explains its actuality without making the producer its material. Constitution has a different explanatory direction: the whole possesses its actuality through its constituents. Confusing these directions would turn every cause into a component. The third premise adds a substantive constraint on what a bounded whole can intrinsically contain; it is not a consequence of mere part-whole vocabulary.</w:t>
      </w:r>
    </w:p>
    <w:bookmarkEnd w:id="88"/>
    <w:bookmarkStart w:id="89" w:name="what-follows-if-they-hold"/>
    <w:p>
      <w:pPr>
        <w:pStyle w:val="Heading4"/>
      </w:pPr>
      <w:r>
        <w:t xml:space="preserve">What follows if they hold?</w:t>
      </w:r>
    </w:p>
    <w:p>
      <w:pPr>
        <w:pStyle w:val="FirstParagraph"/>
      </w:pPr>
      <w:r>
        <w:t xml:space="preserve">Created actuality can be continuously from God while remaining distinct. Constitutive dependence excludes a creature as a part of the underived God; the capacity constraint excludes unlimited God as a constituent of a bounded creature.</w:t>
      </w:r>
    </w:p>
    <w:p>
      <w:pPr>
        <w:pStyle w:val="BodyText"/>
      </w:pPr>
      <w:r>
        <w:rPr>
          <w:b/>
          <w:bCs/>
        </w:rPr>
        <w:t xml:space="preserve">What remains to defend.</w:t>
      </w:r>
      <w:r>
        <w:t xml:space="preserve"> </w:t>
      </w:r>
      <w:r>
        <w:t xml:space="preserve">These are conditional consequences of the source profile and two constitution principles, not a demonstration that every cause communicates without division.</w:t>
      </w:r>
    </w:p>
    <w:bookmarkEnd w:id="89"/>
    <w:bookmarkEnd w:id="90"/>
    <w:p>
      <w:pPr>
        <w:pStyle w:val="BodyText"/>
      </w:pPr>
      <w:hyperlink r:id="rId91">
        <w:r>
          <w:rPr>
            <w:rStyle w:val="Hyperlink"/>
          </w:rPr>
          <w:t xml:space="preserve">Participation as real possession</w:t>
        </w:r>
      </w:hyperlink>
      <w:r>
        <w:t xml:space="preserve"> </w:t>
      </w:r>
      <w:r>
        <w:t xml:space="preserve">|</w:t>
      </w:r>
      <w:r>
        <w:t xml:space="preserve"> </w:t>
      </w:r>
      <w:hyperlink r:id="rId92">
        <w:r>
          <w:rPr>
            <w:rStyle w:val="Hyperlink"/>
          </w:rPr>
          <w:t xml:space="preserve">The basis and constitution bridges</w:t>
        </w:r>
      </w:hyperlink>
      <w:r>
        <w:t xml:space="preserve"> </w:t>
      </w:r>
      <w:r>
        <w:t xml:space="preserve">|</w:t>
      </w:r>
      <w:r>
        <w:t xml:space="preserve"> </w:t>
      </w:r>
      <w:hyperlink r:id="rId93">
        <w:r>
          <w:rPr>
            <w:rStyle w:val="Hyperlink"/>
          </w:rPr>
          <w:t xml:space="preserve">Participation without partition</w:t>
        </w:r>
      </w:hyperlink>
    </w:p>
    <w:bookmarkEnd w:id="94"/>
    <w:bookmarkStart w:id="101" w:name="Xcac339b6af8fb0bb0bf0596155e07b3f03cfecf"/>
    <w:p>
      <w:pPr>
        <w:pStyle w:val="Heading3"/>
      </w:pPr>
      <w:r>
        <w:t xml:space="preserve">02</w:t>
      </w:r>
      <w:r>
        <w:t xml:space="preserve"> </w:t>
      </w:r>
      <w:r>
        <w:t xml:space="preserve">/</w:t>
      </w:r>
      <w:r>
        <w:t xml:space="preserve"> </w:t>
      </w:r>
      <w:r>
        <w:t xml:space="preserve">If creatures are from God, in what sense can they genuinely be like God?</w:t>
      </w:r>
      <w:r>
        <w:t xml:space="preserve">+</w:t>
      </w:r>
    </w:p>
    <w:p>
      <w:pPr>
        <w:pStyle w:val="FirstParagraph"/>
      </w:pPr>
      <w:r>
        <w:t xml:space="preserve">They can possess a real perfection whose positive content corresponds to perfection in their source, although its mode of possession differs. But being caused does not, by itself, establish that correspondence. Causation explains where a perfection comes from; likeness requires an additional principle of causal adequacy. The proposal applies that principle to the ultimate source, rather than requiring every instrument to possess the qualities of its effects.</w:t>
      </w:r>
    </w:p>
    <w:p>
      <w:pPr>
        <w:pStyle w:val="BodyText"/>
      </w:pPr>
      <w:r>
        <w:t xml:space="preserve">The positive content must be identified independently of effecthood. Exemplarism supplies one account of the bridge: an effect's intelligible formation corresponds to the source's understanding, so the likeness is grounded in what the effect is. The complete finite form need not be copied into God. A melody requires succession; its divine ground need not be a succession of divine notes. This reconstruction makes detached Forms unnecessary to the explanation without proving every alternative ontology false. Objective expression can obtain before an observer recognizes it; recognition and warranted knowledge remain further achievements.</w:t>
      </w:r>
    </w:p>
    <w:bookmarkStart w:id="95" w:name="the-premises-behind-this-answer-1"/>
    <w:p>
      <w:pPr>
        <w:pStyle w:val="Heading3"/>
      </w:pPr>
      <w:r>
        <w:t xml:space="preserve">The premises behind this answer</w:t>
      </w:r>
    </w:p>
    <w:bookmarkEnd w:id="95"/>
    <w:bookmarkStart w:id="99" w:name="X3a87fcd378d27b7e7338ce8f5dd61b1f88b7faa"/>
    <w:p>
      <w:pPr>
        <w:pStyle w:val="Heading3"/>
      </w:pPr>
      <w:r>
        <w:t xml:space="preserve">Corresponding perfection in an ultimate cause</w:t>
      </w:r>
    </w:p>
    <w:p>
      <w:pPr>
        <w:pStyle w:val="FirstParagraph"/>
      </w:pPr>
      <w:r>
        <w:t xml:space="preserve">Adds causal adequacy to causation and dependence; the source interpretation of each positive perfection must also be defended.</w:t>
      </w:r>
    </w:p>
    <w:bookmarkStart w:id="96" w:name="adopt-these-premises-1"/>
    <w:p>
      <w:pPr>
        <w:pStyle w:val="Heading4"/>
      </w:pPr>
      <w:r>
        <w:t xml:space="preserve">Adopt these premises</w:t>
      </w:r>
    </w:p>
    <w:p>
      <w:pPr>
        <w:pStyle w:val="FirstParagraph"/>
      </w:pPr>
      <w:r>
        <w:rPr>
          <w:b/>
          <w:bCs/>
        </w:rPr>
        <w:t xml:space="preserve">1.</w:t>
      </w:r>
      <w:r>
        <w:t xml:space="preserve"> </w:t>
      </w:r>
      <w:r>
        <w:t xml:space="preserve">Identify the positive content independently of its being caused, and distinguish it from a complete finite-kind description: achieved understanding, for example, differs from the receptive history of learning.</w:t>
      </w:r>
    </w:p>
    <w:p>
      <w:pPr>
        <w:pStyle w:val="BodyText"/>
      </w:pPr>
      <w:r>
        <w:rPr>
          <w:b/>
          <w:bCs/>
        </w:rPr>
        <w:t xml:space="preserve">2.</w:t>
      </w:r>
      <w:r>
        <w:t xml:space="preserve"> </w:t>
      </w:r>
      <w:r>
        <w:t xml:space="preserve">Where the ultimate source fully grounds that positive actuality, the source possesses corresponding perfection actually, under a source-appropriate mode, rather than merely having the ability to produce it.</w:t>
      </w:r>
    </w:p>
    <w:bookmarkEnd w:id="96"/>
    <w:bookmarkStart w:id="97" w:name="why-adopt-them-1"/>
    <w:p>
      <w:pPr>
        <w:pStyle w:val="Heading4"/>
      </w:pPr>
      <w:r>
        <w:t xml:space="preserve">Why adopt them?</w:t>
      </w:r>
    </w:p>
    <w:p>
      <w:pPr>
        <w:pStyle w:val="FirstParagraph"/>
      </w:pPr>
      <w:r>
        <w:t xml:space="preserve">The proposal asks the ultimate explanation to account for what is positively realized, not only the fact that an event occurs. An instrument can transmit a perfection it does not possess in the relevant mode because other actualities explain its operation. An ultimate source cannot defer the whole explanatory burden indefinitely to such instruments. Correspondence permits difference of mode: causing understanding does not require a biological brain or discursive learning in God.</w:t>
      </w:r>
    </w:p>
    <w:p>
      <w:pPr>
        <w:pStyle w:val="BodyText"/>
      </w:pPr>
      <w:r>
        <w:t xml:space="preserve">Source-related intelligible formation provides a positive account of the correspondence. On an exemplar account, the source understands the form it gives actuality to; the creature realizes that intelligible form under its own conditions. A causal relation alone does not supply this additional explanatory relation.</w:t>
      </w:r>
    </w:p>
    <w:bookmarkEnd w:id="97"/>
    <w:bookmarkStart w:id="98" w:name="what-follows-if-they-hold-1"/>
    <w:p>
      <w:pPr>
        <w:pStyle w:val="Heading4"/>
      </w:pPr>
      <w:r>
        <w:t xml:space="preserve">What follows if they hold?</w:t>
      </w:r>
    </w:p>
    <w:p>
      <w:pPr>
        <w:pStyle w:val="FirstParagraph"/>
      </w:pPr>
      <w:r>
        <w:t xml:space="preserve">A creature can bear an actual, received likeness. Its perfection has an intelligible source without requiring a detached Form between source and creature.</w:t>
      </w:r>
    </w:p>
    <w:p>
      <w:pPr>
        <w:pStyle w:val="BodyText"/>
      </w:pPr>
      <w:r>
        <w:rPr>
          <w:b/>
          <w:bCs/>
        </w:rPr>
        <w:t xml:space="preserve">What remains to defend.</w:t>
      </w:r>
      <w:r>
        <w:t xml:space="preserve"> </w:t>
      </w:r>
      <w:r>
        <w:t xml:space="preserve">This is a substantive causal-adequacy commitment, not a theorem of causation alone. Each positive content and its source interpretation still needs defense.</w:t>
      </w:r>
    </w:p>
    <w:bookmarkEnd w:id="98"/>
    <w:bookmarkEnd w:id="99"/>
    <w:p>
      <w:pPr>
        <w:pStyle w:val="BodyText"/>
      </w:pPr>
      <w:hyperlink r:id="rId92">
        <w:r>
          <w:rPr>
            <w:rStyle w:val="Hyperlink"/>
          </w:rPr>
          <w:t xml:space="preserve">Causal adequacy and realized perfection</w:t>
        </w:r>
      </w:hyperlink>
      <w:r>
        <w:t xml:space="preserve"> </w:t>
      </w:r>
      <w:r>
        <w:t xml:space="preserve">|</w:t>
      </w:r>
      <w:r>
        <w:t xml:space="preserve"> </w:t>
      </w:r>
      <w:hyperlink r:id="rId100">
        <w:r>
          <w:rPr>
            <w:rStyle w:val="Hyperlink"/>
          </w:rPr>
          <w:t xml:space="preserve">Historical resources for likeness</w:t>
        </w:r>
      </w:hyperlink>
    </w:p>
    <w:bookmarkEnd w:id="101"/>
    <w:bookmarkStart w:id="108" w:name="Xffcc54e0be6999e4f1e0c8f04b4fcf389d826b8"/>
    <w:p>
      <w:pPr>
        <w:pStyle w:val="Heading3"/>
      </w:pPr>
      <w:r>
        <w:t xml:space="preserve">03</w:t>
      </w:r>
      <w:r>
        <w:t xml:space="preserve"> </w:t>
      </w:r>
      <w:r>
        <w:t xml:space="preserve">/</w:t>
      </w:r>
      <w:r>
        <w:t xml:space="preserve"> </w:t>
      </w:r>
      <w:r>
        <w:t xml:space="preserve">How can a creature genuinely resemble God without sharing God's mode of being or a common genus?</w:t>
      </w:r>
      <w:r>
        <w:t xml:space="preserve">+</w:t>
      </w:r>
    </w:p>
    <w:p>
      <w:pPr>
        <w:pStyle w:val="FirstParagraph"/>
      </w:pPr>
      <w:r>
        <w:t xml:space="preserve">A perfection can correspond without being possessed in the same way. A creature receives actuality according to its capacity; the adopted divine source receives none of the actuality by which it exists. The finite measure characterizes reception, rather than becoming a limit on the source. Likewise, a finite judgment can be completely true in its stated respect without comprehending God: knowing that God exists does not mean possessing everything God is. Non-exhaustion is compatible with truthful access.</w:t>
      </w:r>
    </w:p>
    <w:p>
      <w:pPr>
        <w:pStyle w:val="BodyText"/>
      </w:pPr>
      <w:r>
        <w:t xml:space="preserve">Still, different modes alone do not prove that no common genus exists. The stricter conclusion needs a further account: membership in a natural genus would introduce distinct intrinsic constituting principles, and an absolutely underived source cannot depend on such principles. That account of genus requires independent defense. It concerns natural classification, rather than every shared predicate or intelligible concept. Scotus's univocal concept of being cannot simply be dismissed as a common natural genus.</w:t>
      </w:r>
    </w:p>
    <w:bookmarkStart w:id="102" w:name="the-premises-behind-this-answer-2"/>
    <w:p>
      <w:pPr>
        <w:pStyle w:val="Heading3"/>
      </w:pPr>
      <w:r>
        <w:t xml:space="preserve">The premises behind this answer</w:t>
      </w:r>
    </w:p>
    <w:bookmarkEnd w:id="102"/>
    <w:bookmarkStart w:id="106" w:name="natural-genus-and-intrinsic-constitution"/>
    <w:p>
      <w:pPr>
        <w:pStyle w:val="Heading3"/>
      </w:pPr>
      <w:r>
        <w:t xml:space="preserve">Natural genus and intrinsic constitution</w:t>
      </w:r>
    </w:p>
    <w:p>
      <w:pPr>
        <w:pStyle w:val="FirstParagraph"/>
      </w:pPr>
      <w:r>
        <w:t xml:space="preserve">Adds the natural-genus principle N to the inherited underivation and constitution arguments.</w:t>
      </w:r>
    </w:p>
    <w:bookmarkStart w:id="103" w:name="adopt-these-premises-2"/>
    <w:p>
      <w:pPr>
        <w:pStyle w:val="Heading4"/>
      </w:pPr>
      <w:r>
        <w:t xml:space="preserve">Adopt these premises</w:t>
      </w:r>
    </w:p>
    <w:p>
      <w:pPr>
        <w:pStyle w:val="FirstParagraph"/>
      </w:pPr>
      <w:r>
        <w:rPr>
          <w:b/>
          <w:bCs/>
        </w:rPr>
        <w:t xml:space="preserve">1.</w:t>
      </w:r>
      <w:r>
        <w:t xml:space="preserve"> </w:t>
      </w:r>
      <w:r>
        <w:t xml:space="preserve">Corresponding perfection can be received and bounded in the creature while unreceived and unlimited in God.</w:t>
      </w:r>
    </w:p>
    <w:p>
      <w:pPr>
        <w:pStyle w:val="BodyText"/>
      </w:pPr>
      <w:r>
        <w:rPr>
          <w:b/>
          <w:bCs/>
        </w:rPr>
        <w:t xml:space="preserve">2.</w:t>
      </w:r>
      <w:r>
        <w:t xml:space="preserve"> </w:t>
      </w:r>
      <w:r>
        <w:t xml:space="preserve">If natural genus-membership consists in an intrinsic common kind completed by a distinct intrinsic specific principle, both principles contribute to the member's constitution.</w:t>
      </w:r>
    </w:p>
    <w:p>
      <w:pPr>
        <w:pStyle w:val="BodyText"/>
      </w:pPr>
      <w:r>
        <w:rPr>
          <w:b/>
          <w:bCs/>
        </w:rPr>
        <w:t xml:space="preserve">3.</w:t>
      </w:r>
      <w:r>
        <w:t xml:space="preserve"> </w:t>
      </w:r>
      <w:r>
        <w:t xml:space="preserve">Proper intrinsic constituting principles ground a whole's actuality; God is absolutely underived.</w:t>
      </w:r>
    </w:p>
    <w:bookmarkEnd w:id="103"/>
    <w:bookmarkStart w:id="104" w:name="why-adopt-them-2"/>
    <w:p>
      <w:pPr>
        <w:pStyle w:val="Heading4"/>
      </w:pPr>
      <w:r>
        <w:t xml:space="preserve">Why adopt them?</w:t>
      </w:r>
    </w:p>
    <w:p>
      <w:pPr>
        <w:pStyle w:val="FirstParagraph"/>
      </w:pPr>
      <w:r>
        <w:t xml:space="preserve">A natural genus, on this account, identifies what a thing intrinsically is; its specific determination explains why it is this kind of member. Those contributions are stronger than two descriptions or a shared logical predicate. Treating them as real constituting principles therefore subjects them to the dependence argument. Mere likeness instead compares positive content without supplying a constituent through which God becomes actual.</w:t>
      </w:r>
    </w:p>
    <w:bookmarkEnd w:id="104"/>
    <w:bookmarkStart w:id="105" w:name="what-follows-if-they-hold-2"/>
    <w:p>
      <w:pPr>
        <w:pStyle w:val="Heading4"/>
      </w:pPr>
      <w:r>
        <w:t xml:space="preserve">What follows if they hold?</w:t>
      </w:r>
    </w:p>
    <w:p>
      <w:pPr>
        <w:pStyle w:val="FirstParagraph"/>
      </w:pPr>
      <w:r>
        <w:t xml:space="preserve">Likeness remains possible, while God cannot belong to a natural genus constituted in this way. The creature's finite reception measures its own mode rather than setting God's measure.</w:t>
      </w:r>
    </w:p>
    <w:p>
      <w:pPr>
        <w:pStyle w:val="BodyText"/>
      </w:pPr>
      <w:r>
        <w:rPr>
          <w:b/>
          <w:bCs/>
        </w:rPr>
        <w:t xml:space="preserve">What remains to defend.</w:t>
      </w:r>
      <w:r>
        <w:t xml:space="preserve"> </w:t>
      </w:r>
      <w:r>
        <w:t xml:space="preserve">The genus analysis is an additional Aristotelian-style commitment. It neither excludes every shared concept nor refutes Scotus's univocal concept of being.</w:t>
      </w:r>
    </w:p>
    <w:bookmarkEnd w:id="105"/>
    <w:bookmarkEnd w:id="106"/>
    <w:p>
      <w:pPr>
        <w:pStyle w:val="BodyText"/>
      </w:pPr>
      <w:hyperlink r:id="rId93">
        <w:r>
          <w:rPr>
            <w:rStyle w:val="Hyperlink"/>
          </w:rPr>
          <w:t xml:space="preserve">The additional genus principle</w:t>
        </w:r>
      </w:hyperlink>
      <w:r>
        <w:t xml:space="preserve"> </w:t>
      </w:r>
      <w:r>
        <w:t xml:space="preserve">|</w:t>
      </w:r>
      <w:r>
        <w:t xml:space="preserve"> </w:t>
      </w:r>
      <w:hyperlink r:id="rId107">
        <w:r>
          <w:rPr>
            <w:rStyle w:val="Hyperlink"/>
          </w:rPr>
          <w:t xml:space="preserve">Test the premises</w:t>
        </w:r>
      </w:hyperlink>
    </w:p>
    <w:bookmarkEnd w:id="108"/>
    <w:p>
      <w:pPr>
        <w:pStyle w:val="BodyText"/>
      </w:pPr>
      <w:r>
        <w:t xml:space="preserve">For each answer, the expandable explanation states its premises, reasons to adopt them, positive consequences, and remaining commitments. Follow the links for the derivations, rival accounts, and source qualifications.</w:t>
      </w:r>
    </w:p>
    <w:p>
      <w:pPr>
        <w:pStyle w:val="BodyText"/>
      </w:pPr>
      <w:r>
        <w:t xml:space="preserve">SOURCE LEDGER</w:t>
      </w:r>
    </w:p>
    <w:bookmarkStart w:id="109" w:name="evidence-has-a-status."/>
    <w:p>
      <w:pPr>
        <w:pStyle w:val="Heading2"/>
      </w:pPr>
      <w:r>
        <w:t xml:space="preserve">Evidence has a status.</w:t>
      </w:r>
    </w:p>
    <w:p>
      <w:pPr>
        <w:pStyle w:val="FirstParagraph"/>
      </w:pPr>
      <w:r>
        <w:t xml:space="preserve">Primary passages, archived secondary material, and unconsulted scholarly leads are distinct. During the initial research pass, source-domain access was restricted; permitted mirrors enabled the consultation recorded here.</w:t>
      </w:r>
    </w:p>
    <w:bookmarkEnd w:id="109"/>
    <w:p>
      <w:pPr>
        <w:pStyle w:val="BodyText"/>
      </w:pPr>
      <w:r>
        <w:t xml:space="preserve">Consulted primary</w:t>
      </w:r>
    </w:p>
    <w:bookmarkStart w:id="111" w:name="aristotle-metaphysics"/>
    <w:p>
      <w:pPr>
        <w:pStyle w:val="Heading3"/>
      </w:pPr>
      <w:r>
        <w:t xml:space="preserve">Aristotle, Metaphysics</w:t>
      </w:r>
    </w:p>
    <w:p>
      <w:pPr>
        <w:pStyle w:val="FirstParagraph"/>
      </w:pPr>
      <w:r>
        <w:t xml:space="preserve">Hugh Tredennick, Perseus digital XML; selected passages consulted with Bekker milestones.</w:t>
      </w:r>
    </w:p>
    <w:p>
      <w:pPr>
        <w:pStyle w:val="BodyText"/>
      </w:pPr>
      <w:r>
        <w:t xml:space="preserve">Causal orders, being not a genus, and actuality-priority supply background; none independently yields Christian creation.</w:t>
      </w:r>
    </w:p>
    <w:p>
      <w:pPr>
        <w:pStyle w:val="BodyText"/>
      </w:pPr>
      <w:hyperlink r:id="rId110">
        <w:r>
          <w:rPr>
            <w:rStyle w:val="Hyperlink"/>
          </w:rPr>
          <w:t xml:space="preserve">Inspect source / mirror →</w:t>
        </w:r>
      </w:hyperlink>
    </w:p>
    <w:p>
      <w:pPr>
        <w:pStyle w:val="BodyText"/>
      </w:pPr>
      <w:r>
        <w:t xml:space="preserve">Consulted primary</w:t>
      </w:r>
    </w:p>
    <w:bookmarkEnd w:id="111"/>
    <w:bookmarkStart w:id="113" w:name="plotinus-enneads"/>
    <w:p>
      <w:pPr>
        <w:pStyle w:val="Heading3"/>
      </w:pPr>
      <w:r>
        <w:t xml:space="preserve">Plotinus, Enneads</w:t>
      </w:r>
    </w:p>
    <w:p>
      <w:pPr>
        <w:pStyle w:val="FirstParagraph"/>
      </w:pPr>
      <w:r>
        <w:t xml:space="preserve">Kenneth Sylvan Guthrie, older translation, GITenberg volume I; selected treatises consulted.</w:t>
      </w:r>
    </w:p>
    <w:p>
      <w:pPr>
        <w:pStyle w:val="BodyText"/>
      </w:pPr>
      <w:r>
        <w:t xml:space="preserve">V.2.1 and VI.9 clarify nonpartition; V.1.6 supplies modal pressure. Armstrong’s critical edition remains a follow-up.</w:t>
      </w:r>
    </w:p>
    <w:p>
      <w:pPr>
        <w:pStyle w:val="BodyText"/>
      </w:pPr>
      <w:hyperlink r:id="rId112">
        <w:r>
          <w:rPr>
            <w:rStyle w:val="Hyperlink"/>
          </w:rPr>
          <w:t xml:space="preserve">Inspect source / mirror →</w:t>
        </w:r>
      </w:hyperlink>
    </w:p>
    <w:p>
      <w:pPr>
        <w:pStyle w:val="BodyText"/>
      </w:pPr>
      <w:r>
        <w:t xml:space="preserve">Consulted primary</w:t>
      </w:r>
    </w:p>
    <w:bookmarkEnd w:id="113"/>
    <w:bookmarkStart w:id="115" w:name="X1e52415aa049b5dda0a9f0b8c39f532ec952f5a"/>
    <w:p>
      <w:pPr>
        <w:pStyle w:val="Heading3"/>
      </w:pPr>
      <w:r>
        <w:t xml:space="preserve">Gregory of Nyssa, On the Making of Man XVI</w:t>
      </w:r>
    </w:p>
    <w:p>
      <w:pPr>
        <w:pStyle w:val="FirstParagraph"/>
      </w:pPr>
      <w:r>
        <w:t xml:space="preserve">Moore / Wilson translation, Standard Ebooks transcription; edition provenance checked.</w:t>
      </w:r>
    </w:p>
    <w:p>
      <w:pPr>
        <w:pStyle w:val="BodyText"/>
      </w:pPr>
      <w:r>
        <w:t xml:space="preserve">Likeness in attributes, created–uncreated difference, and creaturely measure are directly verified. Life of Moses remains a separate unconsulted lead.</w:t>
      </w:r>
    </w:p>
    <w:p>
      <w:pPr>
        <w:pStyle w:val="BodyText"/>
      </w:pPr>
      <w:hyperlink r:id="rId114">
        <w:r>
          <w:rPr>
            <w:rStyle w:val="Hyperlink"/>
          </w:rPr>
          <w:t xml:space="preserve">Inspect source / mirror →</w:t>
        </w:r>
      </w:hyperlink>
    </w:p>
    <w:p>
      <w:pPr>
        <w:pStyle w:val="BodyText"/>
      </w:pPr>
      <w:r>
        <w:t xml:space="preserve">Consulted primary</w:t>
      </w:r>
    </w:p>
    <w:bookmarkEnd w:id="115"/>
    <w:bookmarkStart w:id="117" w:name="dionysius-divine-names"/>
    <w:p>
      <w:pPr>
        <w:pStyle w:val="Heading3"/>
      </w:pPr>
      <w:r>
        <w:t xml:space="preserve">Dionysius, Divine Names</w:t>
      </w:r>
    </w:p>
    <w:p>
      <w:pPr>
        <w:pStyle w:val="FirstParagraph"/>
      </w:pPr>
      <w:r>
        <w:t xml:space="preserve">Calfa / GREgORI academic PG 3 Greek OCR, unproofread; selected clauses consulted.</w:t>
      </w:r>
    </w:p>
    <w:p>
      <w:pPr>
        <w:pStyle w:val="BodyText"/>
      </w:pPr>
      <w:r>
        <w:t xml:space="preserve">II.5, V.8, IX.6–7 support nonpartition and recipient-mode. OCR was not collated with a critical edition; exact wording remains provisional.</w:t>
      </w:r>
    </w:p>
    <w:p>
      <w:pPr>
        <w:pStyle w:val="BodyText"/>
      </w:pPr>
      <w:hyperlink r:id="rId116">
        <w:r>
          <w:rPr>
            <w:rStyle w:val="Hyperlink"/>
          </w:rPr>
          <w:t xml:space="preserve">Inspect source / mirror →</w:t>
        </w:r>
      </w:hyperlink>
    </w:p>
    <w:p>
      <w:pPr>
        <w:pStyle w:val="BodyText"/>
      </w:pPr>
      <w:r>
        <w:t xml:space="preserve">Consulted primary</w:t>
      </w:r>
    </w:p>
    <w:bookmarkEnd w:id="117"/>
    <w:bookmarkStart w:id="119" w:name="maximus-ambiguum-7"/>
    <w:p>
      <w:pPr>
        <w:pStyle w:val="Heading3"/>
      </w:pPr>
      <w:r>
        <w:t xml:space="preserve">Maximus, Ambiguum 7</w:t>
      </w:r>
    </w:p>
    <w:p>
      <w:pPr>
        <w:pStyle w:val="FirstParagraph"/>
      </w:pPr>
      <w:r>
        <w:t xml:space="preserve">Provisional Greek transcription mirror; source edition undocumented. Selected passage consulted.</w:t>
      </w:r>
    </w:p>
    <w:p>
      <w:pPr>
        <w:pStyle w:val="BodyText"/>
      </w:pPr>
      <w:r>
        <w:t xml:space="preserve">The passage distinguishes logoi/preknowledge from created actualization. Reliable Constas-edition verification remains pending.</w:t>
      </w:r>
    </w:p>
    <w:p>
      <w:pPr>
        <w:pStyle w:val="BodyText"/>
      </w:pPr>
      <w:hyperlink r:id="rId118">
        <w:r>
          <w:rPr>
            <w:rStyle w:val="Hyperlink"/>
          </w:rPr>
          <w:t xml:space="preserve">Inspect source / mirror →</w:t>
        </w:r>
      </w:hyperlink>
    </w:p>
    <w:p>
      <w:pPr>
        <w:pStyle w:val="BodyText"/>
      </w:pPr>
      <w:r>
        <w:t xml:space="preserve">Consulted primary</w:t>
      </w:r>
    </w:p>
    <w:bookmarkEnd w:id="119"/>
    <w:bookmarkStart w:id="121" w:name="plato-parmenides-timaeus-republic"/>
    <w:p>
      <w:pPr>
        <w:pStyle w:val="Heading3"/>
      </w:pPr>
      <w:r>
        <w:t xml:space="preserve">Plato, Parmenides; Timaeus; Republic</w:t>
      </w:r>
    </w:p>
    <w:p>
      <w:pPr>
        <w:pStyle w:val="FirstParagraph"/>
      </w:pPr>
      <w:r>
        <w:t xml:space="preserve">Benjamin Jowett translations, public-domain Gutenberg mirrors. Read selected passages; antiquated translations.</w:t>
      </w:r>
    </w:p>
    <w:p>
      <w:pPr>
        <w:pStyle w:val="BodyText"/>
      </w:pPr>
      <w:r>
        <w:t xml:space="preserve">The whole/part dilemma and exemplar language are verified; Greek philology is not supplied by these translations.</w:t>
      </w:r>
    </w:p>
    <w:p>
      <w:pPr>
        <w:pStyle w:val="BodyText"/>
      </w:pPr>
      <w:hyperlink r:id="rId120">
        <w:r>
          <w:rPr>
            <w:rStyle w:val="Hyperlink"/>
          </w:rPr>
          <w:t xml:space="preserve">Inspect source / mirror →</w:t>
        </w:r>
      </w:hyperlink>
    </w:p>
    <w:p>
      <w:pPr>
        <w:pStyle w:val="BodyText"/>
      </w:pPr>
      <w:r>
        <w:t xml:space="preserve">Consulted primary</w:t>
      </w:r>
    </w:p>
    <w:bookmarkEnd w:id="121"/>
    <w:bookmarkStart w:id="123" w:name="augustine-city-of-god-xi.10"/>
    <w:p>
      <w:pPr>
        <w:pStyle w:val="Heading3"/>
      </w:pPr>
      <w:r>
        <w:t xml:space="preserve">Augustine, City of God XI.10</w:t>
      </w:r>
    </w:p>
    <w:p>
      <w:pPr>
        <w:pStyle w:val="FirstParagraph"/>
      </w:pPr>
      <w:r>
        <w:t xml:space="preserve">Marcus Dods translation, vol. I; Gutenberg #45304. Selected chapter consulted.</w:t>
      </w:r>
    </w:p>
    <w:p>
      <w:pPr>
        <w:pStyle w:val="BodyText"/>
      </w:pPr>
      <w:r>
        <w:t xml:space="preserve">Simple God “is what it has”; received creaturely wisdom is contrasted with divine wisdom. Related q.46 remains a locus lead.</w:t>
      </w:r>
    </w:p>
    <w:p>
      <w:pPr>
        <w:pStyle w:val="BodyText"/>
      </w:pPr>
      <w:hyperlink r:id="rId122">
        <w:r>
          <w:rPr>
            <w:rStyle w:val="Hyperlink"/>
          </w:rPr>
          <w:t xml:space="preserve">Inspect source / mirror →</w:t>
        </w:r>
      </w:hyperlink>
    </w:p>
    <w:p>
      <w:pPr>
        <w:pStyle w:val="BodyText"/>
      </w:pPr>
      <w:r>
        <w:t xml:space="preserve">Consulted primary</w:t>
      </w:r>
    </w:p>
    <w:bookmarkEnd w:id="123"/>
    <w:bookmarkStart w:id="125" w:name="anselm-monologion"/>
    <w:p>
      <w:pPr>
        <w:pStyle w:val="Heading3"/>
      </w:pPr>
      <w:r>
        <w:t xml:space="preserve">Anselm, Monologion</w:t>
      </w:r>
    </w:p>
    <w:p>
      <w:pPr>
        <w:pStyle w:val="FirstParagraph"/>
      </w:pPr>
      <w:r>
        <w:t xml:space="preserve">Latin public-domain scan OCR mirror. Selected chapters consulted; OCR must be checked for quotation.</w:t>
      </w:r>
    </w:p>
    <w:p>
      <w:pPr>
        <w:pStyle w:val="BodyText"/>
      </w:pPr>
      <w:r>
        <w:t xml:space="preserve">Chapters 17, 31, and 34 anchor composition-dependence and asymmetric exemplar likeness; no unverified quotation is used.</w:t>
      </w:r>
    </w:p>
    <w:p>
      <w:pPr>
        <w:pStyle w:val="BodyText"/>
      </w:pPr>
      <w:hyperlink r:id="rId124">
        <w:r>
          <w:rPr>
            <w:rStyle w:val="Hyperlink"/>
          </w:rPr>
          <w:t xml:space="preserve">Inspect source / mirror →</w:t>
        </w:r>
      </w:hyperlink>
    </w:p>
    <w:p>
      <w:pPr>
        <w:pStyle w:val="BodyText"/>
      </w:pPr>
      <w:r>
        <w:t xml:space="preserve">Consulted primary</w:t>
      </w:r>
    </w:p>
    <w:bookmarkEnd w:id="125"/>
    <w:bookmarkStart w:id="127" w:name="aquinas-summa-theologiae-prima-pars"/>
    <w:p>
      <w:pPr>
        <w:pStyle w:val="Heading3"/>
      </w:pPr>
      <w:r>
        <w:t xml:space="preserve">Aquinas, Summa Theologiae, Prima Pars</w:t>
      </w:r>
    </w:p>
    <w:p>
      <w:pPr>
        <w:pStyle w:val="FirstParagraph"/>
      </w:pPr>
      <w:r>
        <w:t xml:space="preserve">English Dominican Fathers, Complete American Edition; Gutenberg #17611. Selected articles consulted.</w:t>
      </w:r>
    </w:p>
    <w:p>
      <w:pPr>
        <w:pStyle w:val="BodyText"/>
      </w:pPr>
      <w:r>
        <w:t xml:space="preserve">Causation of necessary beings, primary/secondary causality, divine ideas, analogy, simplicity, and mixed relations verified at article level.</w:t>
      </w:r>
    </w:p>
    <w:p>
      <w:pPr>
        <w:pStyle w:val="BodyText"/>
      </w:pPr>
      <w:hyperlink r:id="rId126">
        <w:r>
          <w:rPr>
            <w:rStyle w:val="Hyperlink"/>
          </w:rPr>
          <w:t xml:space="preserve">Inspect source / mirror →</w:t>
        </w:r>
      </w:hyperlink>
    </w:p>
    <w:p>
      <w:pPr>
        <w:pStyle w:val="BodyText"/>
      </w:pPr>
      <w:r>
        <w:t xml:space="preserve">Consulted primary</w:t>
      </w:r>
    </w:p>
    <w:bookmarkEnd w:id="127"/>
    <w:bookmarkStart w:id="129" w:name="X6807e461b9007fd7e3574e0367c6094f2be078c"/>
    <w:p>
      <w:pPr>
        <w:pStyle w:val="Heading3"/>
      </w:pPr>
      <w:r>
        <w:t xml:space="preserve">Newman, Essay on the Development of Christian Doctrine</w:t>
      </w:r>
    </w:p>
    <w:p>
      <w:pPr>
        <w:pStyle w:val="FirstParagraph"/>
      </w:pPr>
      <w:r>
        <w:t xml:space="preserve">Gutenberg #35110 mirror; chapter V consulted.</w:t>
      </w:r>
    </w:p>
    <w:p>
      <w:pPr>
        <w:pStyle w:val="BodyText"/>
      </w:pPr>
      <w:r>
        <w:t xml:space="preserve">The seven notes and their varying independence/applicability were checked. Newman is used analogically, not to certify a doctrine.</w:t>
      </w:r>
    </w:p>
    <w:p>
      <w:pPr>
        <w:pStyle w:val="BodyText"/>
      </w:pPr>
      <w:hyperlink r:id="rId128">
        <w:r>
          <w:rPr>
            <w:rStyle w:val="Hyperlink"/>
          </w:rPr>
          <w:t xml:space="preserve">Inspect source / mirror →</w:t>
        </w:r>
      </w:hyperlink>
    </w:p>
    <w:p>
      <w:pPr>
        <w:pStyle w:val="BodyText"/>
      </w:pPr>
      <w:r>
        <w:t xml:space="preserve">Consulted primary</w:t>
      </w:r>
    </w:p>
    <w:bookmarkEnd w:id="129"/>
    <w:bookmarkStart w:id="131" w:name="john-damascene-on-holy-images"/>
    <w:p>
      <w:pPr>
        <w:pStyle w:val="Heading3"/>
      </w:pPr>
      <w:r>
        <w:t xml:space="preserve">John Damascene, On Holy Images</w:t>
      </w:r>
    </w:p>
    <w:p>
      <w:pPr>
        <w:pStyle w:val="FirstParagraph"/>
      </w:pPr>
      <w:r>
        <w:t xml:space="preserve">Mary H. Allies, 1898; Gutenberg #49917 mirror. Selected image-type discussion consulted.</w:t>
      </w:r>
    </w:p>
    <w:p>
      <w:pPr>
        <w:pStyle w:val="BodyText"/>
      </w:pPr>
      <w:r>
        <w:t xml:space="preserve">Translation has an anachronistic identification in one passage; the dossier records it and restricts constructive use.</w:t>
      </w:r>
    </w:p>
    <w:p>
      <w:pPr>
        <w:pStyle w:val="BodyText"/>
      </w:pPr>
      <w:hyperlink r:id="rId130">
        <w:r>
          <w:rPr>
            <w:rStyle w:val="Hyperlink"/>
          </w:rPr>
          <w:t xml:space="preserve">Inspect source / mirror →</w:t>
        </w:r>
      </w:hyperlink>
    </w:p>
    <w:p>
      <w:pPr>
        <w:pStyle w:val="BodyText"/>
      </w:pPr>
      <w:r>
        <w:t xml:space="preserve">Consulted archive</w:t>
      </w:r>
    </w:p>
    <w:bookmarkEnd w:id="131"/>
    <w:bookmarkStart w:id="133" w:name="Xa9faa814d7121cbce7a13d9803a7280990a1b39"/>
    <w:p>
      <w:pPr>
        <w:pStyle w:val="Heading3"/>
      </w:pPr>
      <w:r>
        <w:t xml:space="preserve">Stanford Encyclopedia: archived article-body mirror</w:t>
      </w:r>
    </w:p>
    <w:p>
      <w:pPr>
        <w:pStyle w:val="FirstParagraph"/>
      </w:pPr>
      <w:r>
        <w:t xml:space="preserve">Readable SEP prose in philo2vec archive committed by August 2016; headers, bibliography, and individual revision dates absent.</w:t>
      </w:r>
    </w:p>
    <w:p>
      <w:pPr>
        <w:pStyle w:val="BodyText"/>
      </w:pPr>
      <w:r>
        <w:t xml:space="preserve">Selected Bonaventure, Henry, Anselm, Dionysius, Eriugena, Cusa and other entries consulted where recorded. This is archival secondary evidence, not a verified current edition.</w:t>
      </w:r>
    </w:p>
    <w:p>
      <w:pPr>
        <w:pStyle w:val="BodyText"/>
      </w:pPr>
      <w:hyperlink r:id="rId132">
        <w:r>
          <w:rPr>
            <w:rStyle w:val="Hyperlink"/>
          </w:rPr>
          <w:t xml:space="preserve">Inspect source / mirror →</w:t>
        </w:r>
      </w:hyperlink>
    </w:p>
    <w:p>
      <w:pPr>
        <w:pStyle w:val="BodyText"/>
      </w:pPr>
      <w:r>
        <w:t xml:space="preserve">Verification pending</w:t>
      </w:r>
    </w:p>
    <w:bookmarkEnd w:id="133"/>
    <w:bookmarkStart w:id="135" w:name="gregory-of-nyssa-life-of-moses"/>
    <w:p>
      <w:pPr>
        <w:pStyle w:val="Heading3"/>
      </w:pPr>
      <w:r>
        <w:t xml:space="preserve">Gregory of Nyssa, Life of Moses</w:t>
      </w:r>
    </w:p>
    <w:p>
      <w:pPr>
        <w:pStyle w:val="FirstParagraph"/>
      </w:pPr>
      <w:r>
        <w:t xml:space="preserve">Abraham J. Malherbe and Everett Ferguson, Paulist Press, 1978; II.230–239.</w:t>
      </w:r>
    </w:p>
    <w:p>
      <w:pPr>
        <w:pStyle w:val="BodyText"/>
      </w:pPr>
      <w:r>
        <w:t xml:space="preserve">Primary locus and scholarly bibliography supplied in dossier; full reliable translation was not directly consulted in this run.</w:t>
      </w:r>
    </w:p>
    <w:p>
      <w:pPr>
        <w:pStyle w:val="BodyText"/>
      </w:pPr>
      <w:hyperlink r:id="rId134">
        <w:r>
          <w:rPr>
            <w:rStyle w:val="Hyperlink"/>
          </w:rPr>
          <w:t xml:space="preserve">Open reference / research lead →</w:t>
        </w:r>
      </w:hyperlink>
    </w:p>
    <w:p>
      <w:pPr>
        <w:pStyle w:val="BodyText"/>
      </w:pPr>
      <w:r>
        <w:t xml:space="preserve">Verification pending</w:t>
      </w:r>
    </w:p>
    <w:bookmarkEnd w:id="135"/>
    <w:bookmarkStart w:id="137" w:name="X6c0300686bfadbf6009e0531476b8d307995010"/>
    <w:p>
      <w:pPr>
        <w:pStyle w:val="Heading3"/>
      </w:pPr>
      <w:r>
        <w:t xml:space="preserve">Dionysius / Maximus: modern critical translations</w:t>
      </w:r>
    </w:p>
    <w:p>
      <w:pPr>
        <w:pStyle w:val="FirstParagraph"/>
      </w:pPr>
      <w:r>
        <w:t xml:space="preserve">Colm Luibheid / Paul Rorem (1987); Nicholas Constas (2014).</w:t>
      </w:r>
    </w:p>
    <w:p>
      <w:pPr>
        <w:pStyle w:val="BodyText"/>
      </w:pPr>
      <w:r>
        <w:t xml:space="preserve">Digital primary witnesses and secondary archive prose were read. The reliable modern complete translations remain unconsulted.</w:t>
      </w:r>
    </w:p>
    <w:p>
      <w:pPr>
        <w:pStyle w:val="BodyText"/>
      </w:pPr>
      <w:hyperlink r:id="rId136">
        <w:r>
          <w:rPr>
            <w:rStyle w:val="Hyperlink"/>
          </w:rPr>
          <w:t xml:space="preserve">Open reference / research lead →</w:t>
        </w:r>
      </w:hyperlink>
    </w:p>
    <w:p>
      <w:pPr>
        <w:pStyle w:val="BodyText"/>
      </w:pPr>
      <w:r>
        <w:t xml:space="preserve">Verification pending</w:t>
      </w:r>
    </w:p>
    <w:bookmarkEnd w:id="137"/>
    <w:bookmarkStart w:id="139" w:name="henry-of-ghent-duns-scotus"/>
    <w:p>
      <w:pPr>
        <w:pStyle w:val="Heading3"/>
      </w:pPr>
      <w:r>
        <w:t xml:space="preserve">Henry of Ghent; Duns Scotus</w:t>
      </w:r>
    </w:p>
    <w:p>
      <w:pPr>
        <w:pStyle w:val="FirstParagraph"/>
      </w:pPr>
      <w:r>
        <w:t xml:space="preserve">Critical scholastic editions and specialist works listed in the dossiers.</w:t>
      </w:r>
    </w:p>
    <w:p>
      <w:pPr>
        <w:pStyle w:val="BodyText"/>
      </w:pPr>
      <w:r>
        <w:t xml:space="preserve">Henry archived secondary prose consulted. Primary Henry and Scotus loci are leads, not claims of new primary-text verification.</w:t>
      </w:r>
    </w:p>
    <w:p>
      <w:pPr>
        <w:pStyle w:val="BodyText"/>
      </w:pPr>
      <w:hyperlink r:id="rId138">
        <w:r>
          <w:rPr>
            <w:rStyle w:val="Hyperlink"/>
          </w:rPr>
          <w:t xml:space="preserve">Open reference / research lead →</w:t>
        </w:r>
      </w:hyperlink>
    </w:p>
    <w:p>
      <w:pPr>
        <w:pStyle w:val="BodyText"/>
      </w:pPr>
      <w:r>
        <w:t xml:space="preserve">Verification pending</w:t>
      </w:r>
    </w:p>
    <w:bookmarkEnd w:id="139"/>
    <w:bookmarkStart w:id="141" w:name="przywara-analogia-entis-palamas-triads"/>
    <w:p>
      <w:pPr>
        <w:pStyle w:val="Heading3"/>
      </w:pPr>
      <w:r>
        <w:t xml:space="preserve">Przywara, Analogia Entis; Palamas, Triads</w:t>
      </w:r>
    </w:p>
    <w:p>
      <w:pPr>
        <w:pStyle w:val="FirstParagraph"/>
      </w:pPr>
      <w:r>
        <w:t xml:space="preserve">John R. Betz / David Bentley Hart (2014); Nicholas Gendle (1983).</w:t>
      </w:r>
    </w:p>
    <w:p>
      <w:pPr>
        <w:pStyle w:val="BodyText"/>
      </w:pPr>
      <w:r>
        <w:t xml:space="preserve">Structural safeguards and bibliography supplied. Full primary works not consulted; no claim that their disputed models are identical.</w:t>
      </w:r>
    </w:p>
    <w:p>
      <w:pPr>
        <w:pStyle w:val="BodyText"/>
      </w:pPr>
      <w:hyperlink r:id="rId140">
        <w:r>
          <w:rPr>
            <w:rStyle w:val="Hyperlink"/>
          </w:rPr>
          <w:t xml:space="preserve">Open reference / research lead →</w:t>
        </w:r>
      </w:hyperlink>
    </w:p>
    <w:p>
      <w:pPr>
        <w:pStyle w:val="BodyText"/>
      </w:pPr>
      <w:r>
        <w:t xml:space="preserve">Verification pending</w:t>
      </w:r>
    </w:p>
    <w:bookmarkEnd w:id="141"/>
    <w:bookmarkStart w:id="142" w:name="specialist-scholarship-across-the-field"/>
    <w:p>
      <w:pPr>
        <w:pStyle w:val="Heading3"/>
      </w:pPr>
      <w:r>
        <w:t xml:space="preserve">Specialist scholarship across the field</w:t>
      </w:r>
    </w:p>
    <w:p>
      <w:pPr>
        <w:pStyle w:val="FirstParagraph"/>
      </w:pPr>
      <w:r>
        <w:t xml:space="preserve">Dossiers distinguish consulted archive prose from bibliographic leads: Balás, Rorem, Perl, Blowers, Moran, McGinn, Noone/Houser, Porro/Pickavé, Wippel, Cross and Betz.</w:t>
      </w:r>
    </w:p>
    <w:p>
      <w:pPr>
        <w:pStyle w:val="BodyText"/>
      </w:pPr>
      <w:r>
        <w:t xml:space="preserve">A research map rather than a completed critical-edition survey. No bibliography entry is silently treated as a book read.</w:t>
      </w:r>
    </w:p>
    <w:p>
      <w:pPr>
        <w:pStyle w:val="BodyText"/>
      </w:pPr>
      <w:hyperlink r:id="rId70">
        <w:r>
          <w:rPr>
            <w:rStyle w:val="Hyperlink"/>
          </w:rPr>
          <w:t xml:space="preserve">Open reference / research lead →</w:t>
        </w:r>
      </w:hyperlink>
    </w:p>
    <w:bookmarkEnd w:id="142"/>
    <w:p>
      <w:pPr>
        <w:pStyle w:val="BodyText"/>
      </w:pPr>
      <w:r>
        <w:t xml:space="preserve">Translations and archived mirrors are identified rather than presented as critical editions. Dossiers supply specialist bibliographies and the questions requiring renewed primary verification.</w:t>
      </w:r>
    </w:p>
    <w:p>
      <w:pPr>
        <w:pStyle w:val="Heading1"/>
      </w:pPr>
      <w:r>
        <w:t xml:space="preserve">Interactive material — complete static record</w:t>
      </w:r>
    </w:p>
    <w:bookmarkStart w:id="147" w:name="part-i-interactive-content-backup"/>
    <w:p>
      <w:pPr>
        <w:pStyle w:val="Heading2"/>
      </w:pPr>
      <w:r>
        <w:t xml:space="preserve">Part I — Interactive content backup</w:t>
      </w:r>
    </w:p>
    <w:p>
      <w:pPr>
        <w:pStyle w:val="FirstParagraph"/>
      </w:pPr>
      <w:r>
        <w:t xml:space="preserve">This appendix preserves information behind the page’s interactive deletion controls. The main page snapshot already includes the primitive definitions, clause statements and formulas, all fifteen theorem assessments, and historical/source cards. Programmed path availability is not proof of philosophical truth or universal underivability. The exact theorem qualifications remain in force.</w:t>
      </w:r>
    </w:p>
    <w:bookmarkStart w:id="143" w:name="the-three-optional-extensions"/>
    <w:p>
      <w:pPr>
        <w:pStyle w:val="Heading3"/>
      </w:pPr>
      <w:r>
        <w:t xml:space="preserve">The three optional extensions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Label</w:t>
            </w:r>
          </w:p>
        </w:tc>
        <w:tc>
          <w:tcPr>
            <w:tcW w:type="dxa" w:w="2749"/>
            <w:shd w:fill="EAE5DA"/>
          </w:tcPr>
          <w:p>
            <w:pPr>
              <w:pStyle w:val="BodyText"/>
              <w:keepNext w:val="0"/>
              <w:spacing w:after="80" w:line="252" w:lineRule="auto"/>
              <w:jc w:val="left"/>
            </w:pPr>
            <w:r>
              <w:rPr>
                <w:rFonts w:ascii="Calibri" w:hAnsi="Calibri"/>
                <w:b/>
                <w:sz w:val="17"/>
              </w:rPr>
              <w:t xml:space="preserve">Name</w:t>
            </w:r>
          </w:p>
        </w:tc>
        <w:tc>
          <w:tcPr>
            <w:tcW w:type="dxa" w:w="2749"/>
            <w:shd w:fill="EAE5DA"/>
          </w:tcPr>
          <w:p>
            <w:pPr>
              <w:pStyle w:val="BodyText"/>
              <w:keepNext w:val="0"/>
              <w:spacing w:after="80" w:line="252" w:lineRule="auto"/>
              <w:jc w:val="left"/>
            </w:pPr>
            <w:r>
              <w:rPr>
                <w:rFonts w:ascii="Calibri" w:hAnsi="Calibri"/>
                <w:b/>
                <w:sz w:val="17"/>
              </w:rPr>
              <w:t xml:space="preserve">Statement</w:t>
            </w:r>
          </w:p>
        </w:tc>
        <w:tc>
          <w:tcPr>
            <w:tcW w:type="dxa" w:w="2749"/>
            <w:shd w:fill="EAE5DA"/>
          </w:tcPr>
          <w:p>
            <w:pPr>
              <w:pStyle w:val="BodyText"/>
              <w:keepNext w:val="0"/>
              <w:spacing w:after="80" w:line="252" w:lineRule="auto"/>
              <w:jc w:val="left"/>
            </w:pPr>
            <w:r>
              <w:rPr>
                <w:rFonts w:ascii="Calibri" w:hAnsi="Calibri"/>
                <w:b/>
                <w:sz w:val="17"/>
              </w:rPr>
              <w:t xml:space="preserve">Deletion consequence</w:t>
            </w:r>
          </w:p>
        </w:tc>
      </w:tr>
      <w:tr>
        <w:tc>
          <w:tcPr>
            <w:tcW w:type="dxa" w:w="1689"/>
          </w:tcPr>
          <w:p>
            <w:pPr>
              <w:pStyle w:val="BodyText"/>
              <w:keepNext w:val="0"/>
              <w:spacing w:after="80" w:line="252" w:lineRule="auto"/>
              <w:jc w:val="left"/>
            </w:pPr>
            <w:r>
              <w:rPr>
                <w:rFonts w:ascii="Calibri" w:hAnsi="Calibri"/>
                <w:sz w:val="17"/>
              </w:rPr>
              <w:t xml:space="preserve">N</w:t>
            </w:r>
          </w:p>
        </w:tc>
        <w:tc>
          <w:tcPr>
            <w:tcW w:type="dxa" w:w="2749"/>
          </w:tcPr>
          <w:p>
            <w:pPr>
              <w:pStyle w:val="BodyText"/>
              <w:keepNext w:val="0"/>
              <w:spacing w:after="80" w:line="252" w:lineRule="auto"/>
              <w:jc w:val="left"/>
            </w:pPr>
            <w:r>
              <w:rPr>
                <w:rFonts w:ascii="Calibri" w:hAnsi="Calibri"/>
                <w:sz w:val="17"/>
              </w:rPr>
              <w:t xml:space="preserve">Natural genus constitutes its members</w:t>
            </w:r>
          </w:p>
        </w:tc>
        <w:tc>
          <w:tcPr>
            <w:tcW w:type="dxa" w:w="2749"/>
          </w:tcPr>
          <w:p>
            <w:pPr>
              <w:pStyle w:val="BodyText"/>
              <w:keepNext w:val="0"/>
              <w:spacing w:after="80" w:line="252" w:lineRule="auto"/>
              <w:jc w:val="left"/>
            </w:pPr>
            <w:r>
              <w:rPr>
                <w:rFonts w:ascii="Calibri" w:hAnsi="Calibri"/>
                <w:sz w:val="17"/>
              </w:rPr>
              <w:t xml:space="preserve">A natural genus plus specific determination supplies distinct intrinsic principles. A simple source cannot be a member of such a genus. A shared logical concept of being is not thereby a natural genus.</w:t>
            </w:r>
          </w:p>
        </w:tc>
        <w:tc>
          <w:tcPr>
            <w:tcW w:type="dxa" w:w="2749"/>
          </w:tcPr>
          <w:p>
            <w:pPr>
              <w:pStyle w:val="BodyText"/>
              <w:keepNext w:val="0"/>
              <w:spacing w:after="80" w:line="252" w:lineRule="auto"/>
              <w:jc w:val="left"/>
            </w:pPr>
            <w:r>
              <w:rPr>
                <w:rFonts w:ascii="Calibri" w:hAnsi="Calibri"/>
                <w:sz w:val="17"/>
              </w:rPr>
              <w:t xml:space="preserve">A genus predicate can include source and effects without implying any composition. The strict no-common-genus theorem fails.</w:t>
            </w:r>
          </w:p>
        </w:tc>
      </w:tr>
      <w:tr>
        <w:tc>
          <w:tcPr>
            <w:tcW w:type="dxa" w:w="1689"/>
          </w:tcPr>
          <w:p>
            <w:pPr>
              <w:pStyle w:val="BodyText"/>
              <w:keepNext w:val="0"/>
              <w:spacing w:after="80" w:line="252" w:lineRule="auto"/>
              <w:jc w:val="left"/>
            </w:pPr>
            <w:r>
              <w:rPr>
                <w:rFonts w:ascii="Calibri" w:hAnsi="Calibri"/>
                <w:sz w:val="17"/>
              </w:rPr>
              <w:t xml:space="preserve">V</w:t>
            </w:r>
          </w:p>
        </w:tc>
        <w:tc>
          <w:tcPr>
            <w:tcW w:type="dxa" w:w="2749"/>
          </w:tcPr>
          <w:p>
            <w:pPr>
              <w:pStyle w:val="BodyText"/>
              <w:keepNext w:val="0"/>
              <w:spacing w:after="80" w:line="252" w:lineRule="auto"/>
              <w:jc w:val="left"/>
            </w:pPr>
            <w:r>
              <w:rPr>
                <w:rFonts w:ascii="Calibri" w:hAnsi="Calibri"/>
                <w:sz w:val="17"/>
              </w:rPr>
              <w:t xml:space="preserve">A genuine no-creation alternative</w:t>
            </w:r>
          </w:p>
        </w:tc>
        <w:tc>
          <w:tcPr>
            <w:tcW w:type="dxa" w:w="2749"/>
          </w:tcPr>
          <w:p>
            <w:pPr>
              <w:pStyle w:val="BodyText"/>
              <w:keepNext w:val="0"/>
              <w:spacing w:after="80" w:line="252" w:lineRule="auto"/>
              <w:jc w:val="left"/>
            </w:pPr>
            <w:r>
              <w:rPr>
                <w:rFonts w:ascii="Calibri" w:hAnsi="Calibri"/>
                <w:sz w:val="17"/>
              </w:rPr>
              <w:t xml:space="preserve">For the considered creation, a genuinely possible alternative has the same intrinsic divine fullness and no created actuality. This strong extra premise makes every finite expression contingent. Merely two different created worlds establish only some contingency.</w:t>
            </w:r>
          </w:p>
        </w:tc>
        <w:tc>
          <w:tcPr>
            <w:tcW w:type="dxa" w:w="2749"/>
          </w:tcPr>
          <w:p>
            <w:pPr>
              <w:pStyle w:val="BodyText"/>
              <w:keepNext w:val="0"/>
              <w:spacing w:after="80" w:line="252" w:lineRule="auto"/>
              <w:jc w:val="left"/>
            </w:pPr>
            <w:r>
              <w:rPr>
                <w:rFonts w:ascii="Calibri" w:hAnsi="Calibri"/>
                <w:sz w:val="17"/>
              </w:rPr>
              <w:t xml:space="preserve">An infinite, non-exhausted source can nevertheless necessitate one fixed emanation. Non-exhaustion does not generate contingency.</w:t>
            </w:r>
          </w:p>
        </w:tc>
      </w:tr>
      <w:tr>
        <w:tc>
          <w:tcPr>
            <w:tcW w:type="dxa" w:w="1689"/>
          </w:tcPr>
          <w:p>
            <w:pPr>
              <w:pStyle w:val="BodyText"/>
              <w:keepNext w:val="0"/>
              <w:spacing w:after="80" w:line="252" w:lineRule="auto"/>
              <w:jc w:val="left"/>
            </w:pPr>
            <w:r>
              <w:rPr>
                <w:rFonts w:ascii="Calibri" w:hAnsi="Calibri"/>
                <w:sz w:val="17"/>
              </w:rPr>
              <w:t xml:space="preserve">W</w:t>
            </w:r>
          </w:p>
        </w:tc>
        <w:tc>
          <w:tcPr>
            <w:tcW w:type="dxa" w:w="2749"/>
          </w:tcPr>
          <w:p>
            <w:pPr>
              <w:pStyle w:val="BodyText"/>
              <w:keepNext w:val="0"/>
              <w:spacing w:after="80" w:line="252" w:lineRule="auto"/>
              <w:jc w:val="left"/>
            </w:pPr>
            <w:r>
              <w:rPr>
                <w:rFonts w:ascii="Calibri" w:hAnsi="Calibri"/>
                <w:sz w:val="17"/>
              </w:rPr>
              <w:t xml:space="preserve">Intentional self-determination</w:t>
            </w:r>
          </w:p>
        </w:tc>
        <w:tc>
          <w:tcPr>
            <w:tcW w:type="dxa" w:w="2749"/>
          </w:tcPr>
          <w:p>
            <w:pPr>
              <w:pStyle w:val="BodyText"/>
              <w:keepNext w:val="0"/>
              <w:spacing w:after="80" w:line="252" w:lineRule="auto"/>
              <w:jc w:val="left"/>
            </w:pPr>
            <w:r>
              <w:rPr>
                <w:rFonts w:ascii="Calibri" w:hAnsi="Calibri"/>
                <w:sz w:val="17"/>
              </w:rPr>
              <w:t xml:space="preserve">Intelligent willing selects among the alternatives, without a necessitating rule from intrinsic nature, external dependence, intrinsic lack, or unique maximization. This is an additional account of free agency, not a theorem of modal openness.</w:t>
            </w:r>
          </w:p>
        </w:tc>
        <w:tc>
          <w:tcPr>
            <w:tcW w:type="dxa" w:w="2749"/>
          </w:tcPr>
          <w:p>
            <w:pPr>
              <w:pStyle w:val="BodyText"/>
              <w:keepNext w:val="0"/>
              <w:spacing w:after="80" w:line="252" w:lineRule="auto"/>
              <w:jc w:val="left"/>
            </w:pPr>
            <w:r>
              <w:rPr>
                <w:rFonts w:ascii="Calibri" w:hAnsi="Calibri"/>
                <w:sz w:val="17"/>
              </w:rPr>
              <w:t xml:space="preserve">Contingency may be brute or stochastic, or willing may remain intrinsically necessitated. Alternatives alone establish no free intentional creation.</w:t>
            </w:r>
          </w:p>
        </w:tc>
      </w:tr>
    </w:tbl>
    <w:bookmarkEnd w:id="143"/>
    <w:bookmarkStart w:id="144" w:name="nine-clause-deletion-diagnostics"/>
    <w:p>
      <w:pPr>
        <w:pStyle w:val="Heading3"/>
      </w:pPr>
      <w:r>
        <w:t xml:space="preserve">Nine clause-deletion diagnostics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Deleted clause</w:t>
            </w:r>
          </w:p>
        </w:tc>
        <w:tc>
          <w:tcPr>
            <w:tcW w:type="dxa" w:w="3312"/>
            <w:shd w:fill="EAE5DA"/>
          </w:tcPr>
          <w:p>
            <w:pPr>
              <w:pStyle w:val="BodyText"/>
              <w:keepNext w:val="0"/>
              <w:spacing w:after="80" w:line="252" w:lineRule="auto"/>
              <w:jc w:val="left"/>
            </w:pPr>
            <w:r>
              <w:rPr>
                <w:rFonts w:ascii="Calibri" w:hAnsi="Calibri"/>
                <w:b/>
                <w:sz w:val="17"/>
              </w:rPr>
              <w:t xml:space="preserve">Rival / information lost</w:t>
            </w:r>
          </w:p>
        </w:tc>
        <w:tc>
          <w:tcPr>
            <w:tcW w:type="dxa" w:w="3312"/>
            <w:shd w:fill="EAE5DA"/>
          </w:tcPr>
          <w:p>
            <w:pPr>
              <w:pStyle w:val="BodyText"/>
              <w:keepNext w:val="0"/>
              <w:spacing w:after="80" w:line="252" w:lineRule="auto"/>
              <w:jc w:val="left"/>
            </w:pPr>
            <w:r>
              <w:rPr>
                <w:rFonts w:ascii="Calibri" w:hAnsi="Calibri"/>
                <w:b/>
                <w:sz w:val="17"/>
              </w:rPr>
              <w:t xml:space="preserve">Deletion consequence</w:t>
            </w:r>
          </w:p>
        </w:tc>
      </w:tr>
      <w:tr>
        <w:tc>
          <w:tcPr>
            <w:tcW w:type="dxa" w:w="3312"/>
          </w:tcPr>
          <w:p>
            <w:pPr>
              <w:pStyle w:val="BodyText"/>
              <w:keepNext w:val="0"/>
              <w:spacing w:after="80" w:line="252" w:lineRule="auto"/>
              <w:jc w:val="left"/>
            </w:pPr>
            <w:r>
              <w:rPr>
                <w:rFonts w:ascii="Calibri" w:hAnsi="Calibri"/>
                <w:sz w:val="17"/>
              </w:rPr>
              <w:t xml:space="preserve">G — Universal sustaining causality</w:t>
            </w:r>
          </w:p>
        </w:tc>
        <w:tc>
          <w:tcPr>
            <w:tcW w:type="dxa" w:w="3312"/>
          </w:tcPr>
          <w:p>
            <w:pPr>
              <w:pStyle w:val="BodyText"/>
              <w:keepNext w:val="0"/>
              <w:spacing w:after="80" w:line="252" w:lineRule="auto"/>
              <w:jc w:val="left"/>
            </w:pPr>
            <w:r>
              <w:rPr>
                <w:rFonts w:ascii="Calibri" w:hAnsi="Calibri"/>
                <w:sz w:val="17"/>
              </w:rPr>
              <w:t xml:space="preserve">Deistic or immanent remainder: some actual perfection persists without the designated source.</w:t>
            </w:r>
          </w:p>
        </w:tc>
        <w:tc>
          <w:tcPr>
            <w:tcW w:type="dxa" w:w="3312"/>
          </w:tcPr>
          <w:p>
            <w:pPr>
              <w:pStyle w:val="BodyText"/>
              <w:keepNext w:val="0"/>
              <w:spacing w:after="80" w:line="252" w:lineRule="auto"/>
              <w:jc w:val="left"/>
            </w:pPr>
            <w:r>
              <w:rPr>
                <w:rFonts w:ascii="Calibri" w:hAnsi="Calibri"/>
                <w:sz w:val="17"/>
              </w:rPr>
              <w:t xml:space="preserve">A genuinely actual creature with no source remains possible. Dependence “in every moment” cannot then be claimed.</w:t>
            </w:r>
          </w:p>
        </w:tc>
      </w:tr>
      <w:tr>
        <w:tc>
          <w:tcPr>
            <w:tcW w:type="dxa" w:w="3312"/>
          </w:tcPr>
          <w:p>
            <w:pPr>
              <w:pStyle w:val="BodyText"/>
              <w:keepNext w:val="0"/>
              <w:spacing w:after="80" w:line="252" w:lineRule="auto"/>
              <w:jc w:val="left"/>
            </w:pPr>
            <w:r>
              <w:rPr>
                <w:rFonts w:ascii="Calibri" w:hAnsi="Calibri"/>
                <w:sz w:val="17"/>
              </w:rPr>
              <w:t xml:space="preserve">CP — Causal dependence</w:t>
            </w:r>
          </w:p>
        </w:tc>
        <w:tc>
          <w:tcPr>
            <w:tcW w:type="dxa" w:w="3312"/>
          </w:tcPr>
          <w:p>
            <w:pPr>
              <w:pStyle w:val="BodyText"/>
              <w:keepNext w:val="0"/>
              <w:spacing w:after="80" w:line="252" w:lineRule="auto"/>
              <w:jc w:val="left"/>
            </w:pPr>
            <w:r>
              <w:rPr>
                <w:rFonts w:ascii="Calibri" w:hAnsi="Calibri"/>
                <w:sz w:val="17"/>
              </w:rPr>
              <w:t xml:space="preserve">A merely succession-based causal model, with C but no corresponding D.</w:t>
            </w:r>
          </w:p>
        </w:tc>
        <w:tc>
          <w:tcPr>
            <w:tcW w:type="dxa" w:w="3312"/>
          </w:tcPr>
          <w:p>
            <w:pPr>
              <w:pStyle w:val="BodyText"/>
              <w:keepNext w:val="0"/>
              <w:spacing w:after="80" w:line="252" w:lineRule="auto"/>
              <w:jc w:val="left"/>
            </w:pPr>
            <w:r>
              <w:rPr>
                <w:rFonts w:ascii="Calibri" w:hAnsi="Calibri"/>
                <w:sz w:val="17"/>
              </w:rPr>
              <w:t xml:space="preserve">Causal arrows can coexist with no ontological dependence. Production no longer establishes the Creator–creature interval.</w:t>
            </w:r>
          </w:p>
        </w:tc>
      </w:tr>
      <w:tr>
        <w:tc>
          <w:tcPr>
            <w:tcW w:type="dxa" w:w="3312"/>
          </w:tcPr>
          <w:p>
            <w:pPr>
              <w:pStyle w:val="BodyText"/>
              <w:keepNext w:val="0"/>
              <w:spacing w:after="80" w:line="252" w:lineRule="auto"/>
              <w:jc w:val="left"/>
            </w:pPr>
            <w:r>
              <w:rPr>
                <w:rFonts w:ascii="Calibri" w:hAnsi="Calibri"/>
                <w:sz w:val="17"/>
              </w:rPr>
              <w:t xml:space="preserve">U — The source depends on nothing</w:t>
            </w:r>
          </w:p>
        </w:tc>
        <w:tc>
          <w:tcPr>
            <w:tcW w:type="dxa" w:w="3312"/>
          </w:tcPr>
          <w:p>
            <w:pPr>
              <w:pStyle w:val="BodyText"/>
              <w:keepNext w:val="0"/>
              <w:spacing w:after="80" w:line="252" w:lineRule="auto"/>
              <w:jc w:val="left"/>
            </w:pPr>
            <w:r>
              <w:rPr>
                <w:rFonts w:ascii="Calibri" w:hAnsi="Calibri"/>
                <w:sz w:val="17"/>
              </w:rPr>
              <w:t xml:space="preserve">A source whose actuality is grounded in an actual creature, despite its unlimited mode.</w:t>
            </w:r>
          </w:p>
        </w:tc>
        <w:tc>
          <w:tcPr>
            <w:tcW w:type="dxa" w:w="3312"/>
          </w:tcPr>
          <w:p>
            <w:pPr>
              <w:pStyle w:val="BodyText"/>
              <w:keepNext w:val="0"/>
              <w:spacing w:after="80" w:line="252" w:lineRule="auto"/>
              <w:jc w:val="left"/>
            </w:pPr>
            <w:r>
              <w:rPr>
                <w:rFonts w:ascii="Calibri" w:hAnsi="Calibri"/>
                <w:sz w:val="17"/>
              </w:rPr>
              <w:t xml:space="preserve">An unlimited source may itself depend upon another. A cycle of grounding or divine completion is admitted.</w:t>
            </w:r>
          </w:p>
        </w:tc>
      </w:tr>
      <w:tr>
        <w:tc>
          <w:tcPr>
            <w:tcW w:type="dxa" w:w="3312"/>
          </w:tcPr>
          <w:p>
            <w:pPr>
              <w:pStyle w:val="BodyText"/>
              <w:keepNext w:val="0"/>
              <w:spacing w:after="80" w:line="252" w:lineRule="auto"/>
              <w:jc w:val="left"/>
            </w:pPr>
            <w:r>
              <w:rPr>
                <w:rFonts w:ascii="Calibri" w:hAnsi="Calibri"/>
                <w:sz w:val="17"/>
              </w:rPr>
              <w:t xml:space="preserve">Q — Causal adequacy of the ultimate source</w:t>
            </w:r>
          </w:p>
        </w:tc>
        <w:tc>
          <w:tcPr>
            <w:tcW w:type="dxa" w:w="3312"/>
          </w:tcPr>
          <w:p>
            <w:pPr>
              <w:pStyle w:val="BodyText"/>
              <w:keepNext w:val="0"/>
              <w:spacing w:after="80" w:line="252" w:lineRule="auto"/>
              <w:jc w:val="left"/>
            </w:pPr>
            <w:r>
              <w:rPr>
                <w:rFonts w:ascii="Calibri" w:hAnsi="Calibri"/>
                <w:sz w:val="17"/>
              </w:rPr>
              <w:t xml:space="preserve">An opaque source causes a living effect while no corresponding life can be attributed to the source.</w:t>
            </w:r>
          </w:p>
        </w:tc>
        <w:tc>
          <w:tcPr>
            <w:tcW w:type="dxa" w:w="3312"/>
          </w:tcPr>
          <w:p>
            <w:pPr>
              <w:pStyle w:val="BodyText"/>
              <w:keepNext w:val="0"/>
              <w:spacing w:after="80" w:line="252" w:lineRule="auto"/>
              <w:jc w:val="left"/>
            </w:pPr>
            <w:r>
              <w:rPr>
                <w:rFonts w:ascii="Calibri" w:hAnsi="Calibri"/>
                <w:sz w:val="17"/>
              </w:rPr>
              <w:t xml:space="preserve">An actual causal source can produce the effect’s quality without possessing corresponding perfection. Likeness and manifestation disappear.</w:t>
            </w:r>
          </w:p>
        </w:tc>
      </w:tr>
      <w:tr>
        <w:tc>
          <w:tcPr>
            <w:tcW w:type="dxa" w:w="3312"/>
          </w:tcPr>
          <w:p>
            <w:pPr>
              <w:pStyle w:val="BodyText"/>
              <w:keepNext w:val="0"/>
              <w:spacing w:after="80" w:line="252" w:lineRule="auto"/>
              <w:jc w:val="left"/>
            </w:pPr>
            <w:r>
              <w:rPr>
                <w:rFonts w:ascii="Calibri" w:hAnsi="Calibri"/>
                <w:sz w:val="17"/>
              </w:rPr>
              <w:t xml:space="preserve">KD — Composition entails dependence</w:t>
            </w:r>
          </w:p>
        </w:tc>
        <w:tc>
          <w:tcPr>
            <w:tcW w:type="dxa" w:w="3312"/>
          </w:tcPr>
          <w:p>
            <w:pPr>
              <w:pStyle w:val="BodyText"/>
              <w:keepNext w:val="0"/>
              <w:spacing w:after="80" w:line="252" w:lineRule="auto"/>
              <w:jc w:val="left"/>
            </w:pPr>
            <w:r>
              <w:rPr>
                <w:rFonts w:ascii="Calibri" w:hAnsi="Calibri"/>
                <w:sz w:val="17"/>
              </w:rPr>
              <w:t xml:space="preserve">An uncaused but composite deity. Simplicity does not follow from “uncaused” alone.</w:t>
            </w:r>
          </w:p>
        </w:tc>
        <w:tc>
          <w:tcPr>
            <w:tcW w:type="dxa" w:w="3312"/>
          </w:tcPr>
          <w:p>
            <w:pPr>
              <w:pStyle w:val="BodyText"/>
              <w:keepNext w:val="0"/>
              <w:spacing w:after="80" w:line="252" w:lineRule="auto"/>
              <w:jc w:val="left"/>
            </w:pPr>
            <w:r>
              <w:rPr>
                <w:rFonts w:ascii="Calibri" w:hAnsi="Calibri"/>
                <w:sz w:val="17"/>
              </w:rPr>
              <w:t xml:space="preserve">A composite source can simply be stipulated independent of its own intrinsic parts.</w:t>
            </w:r>
          </w:p>
        </w:tc>
      </w:tr>
      <w:tr>
        <w:tc>
          <w:tcPr>
            <w:tcW w:type="dxa" w:w="3312"/>
          </w:tcPr>
          <w:p>
            <w:pPr>
              <w:pStyle w:val="BodyText"/>
              <w:keepNext w:val="0"/>
              <w:spacing w:after="80" w:line="252" w:lineRule="auto"/>
              <w:jc w:val="left"/>
            </w:pPr>
            <w:r>
              <w:rPr>
                <w:rFonts w:ascii="Calibri" w:hAnsi="Calibri"/>
                <w:sz w:val="17"/>
              </w:rPr>
              <w:t xml:space="preserve">KH — Constituents do not exceed the whole</w:t>
            </w:r>
          </w:p>
        </w:tc>
        <w:tc>
          <w:tcPr>
            <w:tcW w:type="dxa" w:w="3312"/>
          </w:tcPr>
          <w:p>
            <w:pPr>
              <w:pStyle w:val="BodyText"/>
              <w:keepNext w:val="0"/>
              <w:spacing w:after="80" w:line="252" w:lineRule="auto"/>
              <w:jc w:val="left"/>
            </w:pPr>
            <w:r>
              <w:rPr>
                <w:rFonts w:ascii="Calibri" w:hAnsi="Calibri"/>
                <w:sz w:val="17"/>
              </w:rPr>
              <w:t xml:space="preserve">A panentheistic constituent-model: the source belongs to the creature without transferring its unlimited capacity.</w:t>
            </w:r>
          </w:p>
        </w:tc>
        <w:tc>
          <w:tcPr>
            <w:tcW w:type="dxa" w:w="3312"/>
          </w:tcPr>
          <w:p>
            <w:pPr>
              <w:pStyle w:val="BodyText"/>
              <w:keepNext w:val="0"/>
              <w:spacing w:after="80" w:line="252" w:lineRule="auto"/>
              <w:jc w:val="left"/>
            </w:pPr>
            <w:r>
              <w:rPr>
                <w:rFonts w:ascii="Calibri" w:hAnsi="Calibri"/>
                <w:sz w:val="17"/>
              </w:rPr>
              <w:t xml:space="preserve">An unlimited source may be stipulated an intrinsic constituent of a finite creature.</w:t>
            </w:r>
          </w:p>
        </w:tc>
      </w:tr>
      <w:tr>
        <w:tc>
          <w:tcPr>
            <w:tcW w:type="dxa" w:w="3312"/>
          </w:tcPr>
          <w:p>
            <w:pPr>
              <w:pStyle w:val="BodyText"/>
              <w:keepNext w:val="0"/>
              <w:spacing w:after="80" w:line="252" w:lineRule="auto"/>
              <w:jc w:val="left"/>
            </w:pPr>
            <w:r>
              <w:rPr>
                <w:rFonts w:ascii="Calibri" w:hAnsi="Calibri"/>
                <w:sz w:val="17"/>
              </w:rPr>
              <w:t xml:space="preserve">FS — Unbounded source actuality</w:t>
            </w:r>
          </w:p>
        </w:tc>
        <w:tc>
          <w:tcPr>
            <w:tcW w:type="dxa" w:w="3312"/>
          </w:tcPr>
          <w:p>
            <w:pPr>
              <w:pStyle w:val="BodyText"/>
              <w:keepNext w:val="0"/>
              <w:spacing w:after="80" w:line="252" w:lineRule="auto"/>
              <w:jc w:val="left"/>
            </w:pPr>
            <w:r>
              <w:rPr>
                <w:rFonts w:ascii="Calibri" w:hAnsi="Calibri"/>
                <w:sz w:val="17"/>
              </w:rPr>
              <w:t xml:space="preserve">A finite ultimate artisan: underivation and noncomposition remain, but inexhaustibility does not.</w:t>
            </w:r>
          </w:p>
        </w:tc>
        <w:tc>
          <w:tcPr>
            <w:tcW w:type="dxa" w:w="3312"/>
          </w:tcPr>
          <w:p>
            <w:pPr>
              <w:pStyle w:val="BodyText"/>
              <w:keepNext w:val="0"/>
              <w:spacing w:after="80" w:line="252" w:lineRule="auto"/>
              <w:jc w:val="left"/>
            </w:pPr>
            <w:r>
              <w:rPr>
                <w:rFonts w:ascii="Calibri" w:hAnsi="Calibri"/>
                <w:sz w:val="17"/>
              </w:rPr>
              <w:t xml:space="preserve">An underived, simple, finite source is possible; some finite expression can match its measure.</w:t>
            </w:r>
          </w:p>
        </w:tc>
      </w:tr>
      <w:tr>
        <w:tc>
          <w:tcPr>
            <w:tcW w:type="dxa" w:w="3312"/>
          </w:tcPr>
          <w:p>
            <w:pPr>
              <w:pStyle w:val="BodyText"/>
              <w:keepNext w:val="0"/>
              <w:spacing w:after="80" w:line="252" w:lineRule="auto"/>
              <w:jc w:val="left"/>
            </w:pPr>
            <w:r>
              <w:rPr>
                <w:rFonts w:ascii="Calibri" w:hAnsi="Calibri"/>
                <w:sz w:val="17"/>
              </w:rPr>
              <w:t xml:space="preserve">FC — Bounded created actuality</w:t>
            </w:r>
          </w:p>
        </w:tc>
        <w:tc>
          <w:tcPr>
            <w:tcW w:type="dxa" w:w="3312"/>
          </w:tcPr>
          <w:p>
            <w:pPr>
              <w:pStyle w:val="BodyText"/>
              <w:keepNext w:val="0"/>
              <w:spacing w:after="80" w:line="252" w:lineRule="auto"/>
              <w:jc w:val="left"/>
            </w:pPr>
            <w:r>
              <w:rPr>
                <w:rFonts w:ascii="Calibri" w:hAnsi="Calibri"/>
                <w:sz w:val="17"/>
              </w:rPr>
              <w:t xml:space="preserve">An unlimited derived effect that matches the source’s measure without becoming numerically identical.</w:t>
            </w:r>
          </w:p>
        </w:tc>
        <w:tc>
          <w:tcPr>
            <w:tcW w:type="dxa" w:w="3312"/>
          </w:tcPr>
          <w:p>
            <w:pPr>
              <w:pStyle w:val="BodyText"/>
              <w:keepNext w:val="0"/>
              <w:spacing w:after="80" w:line="252" w:lineRule="auto"/>
              <w:jc w:val="left"/>
            </w:pPr>
            <w:r>
              <w:rPr>
                <w:rFonts w:ascii="Calibri" w:hAnsi="Calibri"/>
                <w:sz w:val="17"/>
              </w:rPr>
              <w:t xml:space="preserve">An other can possess the source’s unlimited measure. Nonidentity survives, but finite non-exhaustion is lost.</w:t>
            </w:r>
          </w:p>
        </w:tc>
      </w:tr>
      <w:tr>
        <w:tc>
          <w:tcPr>
            <w:tcW w:type="dxa" w:w="3312"/>
          </w:tcPr>
          <w:p>
            <w:pPr>
              <w:pStyle w:val="BodyText"/>
              <w:keepNext w:val="0"/>
              <w:spacing w:after="80" w:line="252" w:lineRule="auto"/>
              <w:jc w:val="left"/>
            </w:pPr>
            <w:r>
              <w:rPr>
                <w:rFonts w:ascii="Calibri" w:hAnsi="Calibri"/>
                <w:sz w:val="17"/>
              </w:rPr>
              <w:t xml:space="preserve">X — Unchanged source across creation alternatives</w:t>
            </w:r>
          </w:p>
        </w:tc>
        <w:tc>
          <w:tcPr>
            <w:tcW w:type="dxa" w:w="3312"/>
          </w:tcPr>
          <w:p>
            <w:pPr>
              <w:pStyle w:val="BodyText"/>
              <w:keepNext w:val="0"/>
              <w:spacing w:after="80" w:line="252" w:lineRule="auto"/>
              <w:jc w:val="left"/>
            </w:pPr>
            <w:r>
              <w:rPr>
                <w:rFonts w:ascii="Calibri" w:hAnsi="Calibri"/>
                <w:sz w:val="17"/>
              </w:rPr>
              <w:t xml:space="preserve">An intrinsically responsive deity. Independence within each possible world does not establish the same intrinsic actuality across different possible worlds.</w:t>
            </w:r>
          </w:p>
        </w:tc>
        <w:tc>
          <w:tcPr>
            <w:tcW w:type="dxa" w:w="3312"/>
          </w:tcPr>
          <w:p>
            <w:pPr>
              <w:pStyle w:val="BodyText"/>
              <w:keepNext w:val="0"/>
              <w:spacing w:after="80" w:line="252" w:lineRule="auto"/>
              <w:jc w:val="left"/>
            </w:pPr>
            <w:r>
              <w:rPr>
                <w:rFonts w:ascii="Calibri" w:hAnsi="Calibri"/>
                <w:sz w:val="17"/>
              </w:rPr>
              <w:t xml:space="preserve">Different created histories may be correlated with different intrinsic states of the source, without those effects grounding the source’s actuality within either possible world.</w:t>
            </w:r>
          </w:p>
        </w:tc>
      </w:tr>
    </w:tbl>
    <w:bookmarkEnd w:id="144"/>
    <w:bookmarkStart w:id="145" w:name="representative-explorer-selections"/>
    <w:p>
      <w:pPr>
        <w:pStyle w:val="Heading3"/>
      </w:pPr>
      <w:r>
        <w:t xml:space="preserve">Representative explorer selections</w:t>
      </w:r>
    </w:p>
    <w:tbl>
      <w:tblPr>
        <w:tblStyle w:val="TableGrid"/>
        <w:tblW w:type="dxa" w:w="9936"/>
        <w:jc w:val="left"/>
        <w:tblLayout w:type="fixed"/>
        <w:tblLook w:firstRow="1" w:lastRow="0" w:firstColumn="0" w:lastColumn="0" w:noHBand="0" w:noVBand="0" w:val="0020"/>
      </w:tblPr>
      <w:tblGrid>
        <w:gridCol w:w="1689"/>
        <w:gridCol w:w="2062"/>
        <w:gridCol w:w="2062"/>
        <w:gridCol w:w="2062"/>
        <w:gridCol w:w="2062"/>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Selection</w:t>
            </w:r>
          </w:p>
        </w:tc>
        <w:tc>
          <w:tcPr>
            <w:tcW w:type="dxa" w:w="2062"/>
            <w:shd w:fill="EAE5DA"/>
          </w:tcPr>
          <w:p>
            <w:pPr>
              <w:pStyle w:val="BodyText"/>
              <w:keepNext w:val="0"/>
              <w:spacing w:after="80" w:line="252" w:lineRule="auto"/>
              <w:jc w:val="left"/>
            </w:pPr>
            <w:r>
              <w:rPr>
                <w:rFonts w:ascii="Calibri" w:hAnsi="Calibri"/>
                <w:b/>
                <w:sz w:val="17"/>
              </w:rPr>
              <w:t xml:space="preserve">Selected clauses/extensions</w:t>
            </w:r>
          </w:p>
        </w:tc>
        <w:tc>
          <w:tcPr>
            <w:tcW w:type="dxa" w:w="2062"/>
            <w:shd w:fill="EAE5DA"/>
          </w:tcPr>
          <w:p>
            <w:pPr>
              <w:pStyle w:val="BodyText"/>
              <w:keepNext w:val="0"/>
              <w:spacing w:after="80" w:line="252" w:lineRule="auto"/>
              <w:jc w:val="left"/>
            </w:pPr>
            <w:r>
              <w:rPr>
                <w:rFonts w:ascii="Calibri" w:hAnsi="Calibri"/>
                <w:b/>
                <w:sz w:val="17"/>
              </w:rPr>
              <w:t xml:space="preserve">Listed paths available</w:t>
            </w:r>
          </w:p>
        </w:tc>
        <w:tc>
          <w:tcPr>
            <w:tcW w:type="dxa" w:w="2062"/>
            <w:shd w:fill="EAE5DA"/>
          </w:tcPr>
          <w:p>
            <w:pPr>
              <w:pStyle w:val="BodyText"/>
              <w:keepNext w:val="0"/>
              <w:spacing w:after="80" w:line="252" w:lineRule="auto"/>
              <w:jc w:val="left"/>
            </w:pPr>
            <w:r>
              <w:rPr>
                <w:rFonts w:ascii="Calibri" w:hAnsi="Calibri"/>
                <w:b/>
                <w:sz w:val="17"/>
              </w:rPr>
              <w:t xml:space="preserve">Available theorem labels</w:t>
            </w:r>
          </w:p>
        </w:tc>
        <w:tc>
          <w:tcPr>
            <w:tcW w:type="dxa" w:w="2062"/>
            <w:shd w:fill="EAE5DA"/>
          </w:tcPr>
          <w:p>
            <w:pPr>
              <w:pStyle w:val="BodyText"/>
              <w:keepNext w:val="0"/>
              <w:spacing w:after="80" w:line="252" w:lineRule="auto"/>
              <w:jc w:val="left"/>
            </w:pPr>
            <w:r>
              <w:rPr>
                <w:rFonts w:ascii="Calibri" w:hAnsi="Calibri"/>
                <w:b/>
                <w:sz w:val="17"/>
              </w:rPr>
              <w:t xml:space="preserve">Missing dependencies</w:t>
            </w:r>
          </w:p>
        </w:tc>
      </w:tr>
      <w:tr>
        <w:tc>
          <w:tcPr>
            <w:tcW w:type="dxa" w:w="1689"/>
          </w:tcPr>
          <w:p>
            <w:pPr>
              <w:pStyle w:val="BodyText"/>
              <w:keepNext w:val="0"/>
              <w:spacing w:after="80" w:line="252" w:lineRule="auto"/>
              <w:jc w:val="left"/>
            </w:pPr>
            <w:r>
              <w:rPr>
                <w:rFonts w:ascii="Calibri" w:hAnsi="Calibri"/>
                <w:sz w:val="17"/>
              </w:rPr>
              <w:t xml:space="preserve">Original nine-clause selection</w:t>
            </w:r>
          </w:p>
        </w:tc>
        <w:tc>
          <w:tcPr>
            <w:tcW w:type="dxa" w:w="2062"/>
          </w:tcPr>
          <w:p>
            <w:pPr>
              <w:pStyle w:val="BodyText"/>
              <w:keepNext w:val="0"/>
              <w:spacing w:after="80" w:line="252" w:lineRule="auto"/>
              <w:jc w:val="left"/>
            </w:pPr>
            <w:r>
              <w:rPr>
                <w:rFonts w:ascii="Calibri" w:hAnsi="Calibri"/>
                <w:sz w:val="17"/>
              </w:rPr>
              <w:t xml:space="preserve">G, CP, U, Q, KD, KH, FS, FC, X</w:t>
            </w:r>
          </w:p>
        </w:tc>
        <w:tc>
          <w:tcPr>
            <w:tcW w:type="dxa" w:w="2062"/>
          </w:tcPr>
          <w:p>
            <w:pPr>
              <w:pStyle w:val="BodyText"/>
              <w:keepNext w:val="0"/>
              <w:spacing w:after="80" w:line="252" w:lineRule="auto"/>
              <w:jc w:val="left"/>
            </w:pPr>
            <w:r>
              <w:rPr>
                <w:rFonts w:ascii="Calibri" w:hAnsi="Calibri"/>
                <w:sz w:val="17"/>
              </w:rPr>
              <w:t xml:space="preserve">13 / 15</w:t>
            </w:r>
          </w:p>
        </w:tc>
        <w:tc>
          <w:tcPr>
            <w:tcW w:type="dxa" w:w="2062"/>
          </w:tcPr>
          <w:p>
            <w:pPr>
              <w:pStyle w:val="BodyText"/>
              <w:keepNext w:val="0"/>
              <w:spacing w:after="80" w:line="252" w:lineRule="auto"/>
              <w:jc w:val="left"/>
            </w:pPr>
            <w:r>
              <w:rPr>
                <w:rFonts w:ascii="Calibri" w:hAnsi="Calibri"/>
                <w:sz w:val="17"/>
              </w:rPr>
              <w:t xml:space="preserve">T1, T2, T4, T5, T6, T7, T8, T9, T10, T11, T12, T13, T14</w:t>
            </w:r>
          </w:p>
        </w:tc>
        <w:tc>
          <w:tcPr>
            <w:tcW w:type="dxa" w:w="2062"/>
          </w:tcPr>
          <w:p>
            <w:pPr>
              <w:pStyle w:val="BodyText"/>
              <w:keepNext w:val="0"/>
              <w:spacing w:after="80" w:line="252" w:lineRule="auto"/>
              <w:jc w:val="left"/>
            </w:pPr>
            <w:r>
              <w:rPr>
                <w:rFonts w:ascii="Calibri" w:hAnsi="Calibri"/>
                <w:sz w:val="17"/>
              </w:rPr>
              <w:t xml:space="preserve">T3: missing N; T15: missing V</w:t>
            </w:r>
          </w:p>
        </w:tc>
      </w:tr>
      <w:tr>
        <w:tc>
          <w:tcPr>
            <w:tcW w:type="dxa" w:w="1689"/>
          </w:tcPr>
          <w:p>
            <w:pPr>
              <w:pStyle w:val="BodyText"/>
              <w:keepNext w:val="0"/>
              <w:spacing w:after="80" w:line="252" w:lineRule="auto"/>
              <w:jc w:val="left"/>
            </w:pPr>
            <w:r>
              <w:rPr>
                <w:rFonts w:ascii="Calibri" w:hAnsi="Calibri"/>
                <w:sz w:val="17"/>
              </w:rPr>
              <w:t xml:space="preserve">Nine clauses and all three optional extensions</w:t>
            </w:r>
          </w:p>
        </w:tc>
        <w:tc>
          <w:tcPr>
            <w:tcW w:type="dxa" w:w="2062"/>
          </w:tcPr>
          <w:p>
            <w:pPr>
              <w:pStyle w:val="BodyText"/>
              <w:keepNext w:val="0"/>
              <w:spacing w:after="80" w:line="252" w:lineRule="auto"/>
              <w:jc w:val="left"/>
            </w:pPr>
            <w:r>
              <w:rPr>
                <w:rFonts w:ascii="Calibri" w:hAnsi="Calibri"/>
                <w:sz w:val="17"/>
              </w:rPr>
              <w:t xml:space="preserve">G, CP, U, Q, KD, KH, FS, FC, X, N, V, W</w:t>
            </w:r>
          </w:p>
        </w:tc>
        <w:tc>
          <w:tcPr>
            <w:tcW w:type="dxa" w:w="2062"/>
          </w:tcPr>
          <w:p>
            <w:pPr>
              <w:pStyle w:val="BodyText"/>
              <w:keepNext w:val="0"/>
              <w:spacing w:after="80" w:line="252" w:lineRule="auto"/>
              <w:jc w:val="left"/>
            </w:pPr>
            <w:r>
              <w:rPr>
                <w:rFonts w:ascii="Calibri" w:hAnsi="Calibri"/>
                <w:sz w:val="17"/>
              </w:rPr>
              <w:t xml:space="preserve">15 / 15</w:t>
            </w:r>
          </w:p>
        </w:tc>
        <w:tc>
          <w:tcPr>
            <w:tcW w:type="dxa" w:w="2062"/>
          </w:tcPr>
          <w:p>
            <w:pPr>
              <w:pStyle w:val="BodyText"/>
              <w:keepNext w:val="0"/>
              <w:spacing w:after="80" w:line="252" w:lineRule="auto"/>
              <w:jc w:val="left"/>
            </w:pPr>
            <w:r>
              <w:rPr>
                <w:rFonts w:ascii="Calibri" w:hAnsi="Calibri"/>
                <w:sz w:val="17"/>
              </w:rPr>
              <w:t xml:space="preserve">T1, T2, T3, T4, T5, T6, T7, T8, T9, T10, T11, T12, T13, T14, T15</w:t>
            </w:r>
          </w:p>
        </w:tc>
        <w:tc>
          <w:tcPr>
            <w:tcW w:type="dxa" w:w="2062"/>
          </w:tcPr>
          <w:p>
            <w:pPr>
              <w:pStyle w:val="BodyText"/>
              <w:keepNext w:val="0"/>
              <w:spacing w:after="80" w:line="252" w:lineRule="auto"/>
              <w:jc w:val="left"/>
            </w:pPr>
            <w:r>
              <w:rPr>
                <w:rFonts w:ascii="Calibri" w:hAnsi="Calibri"/>
                <w:sz w:val="17"/>
              </w:rPr>
              <w:t xml:space="preserve">No missing listed dependencies</w:t>
            </w:r>
          </w:p>
        </w:tc>
      </w:tr>
      <w:tr>
        <w:tc>
          <w:tcPr>
            <w:tcW w:type="dxa" w:w="1689"/>
          </w:tcPr>
          <w:p>
            <w:pPr>
              <w:pStyle w:val="BodyText"/>
              <w:keepNext w:val="0"/>
              <w:spacing w:after="80" w:line="252" w:lineRule="auto"/>
              <w:jc w:val="left"/>
            </w:pPr>
            <w:r>
              <w:rPr>
                <w:rFonts w:ascii="Calibri" w:hAnsi="Calibri"/>
                <w:sz w:val="17"/>
              </w:rPr>
              <w:t xml:space="preserve">Original selection without G</w:t>
            </w:r>
          </w:p>
        </w:tc>
        <w:tc>
          <w:tcPr>
            <w:tcW w:type="dxa" w:w="2062"/>
          </w:tcPr>
          <w:p>
            <w:pPr>
              <w:pStyle w:val="BodyText"/>
              <w:keepNext w:val="0"/>
              <w:spacing w:after="80" w:line="252" w:lineRule="auto"/>
              <w:jc w:val="left"/>
            </w:pPr>
            <w:r>
              <w:rPr>
                <w:rFonts w:ascii="Calibri" w:hAnsi="Calibri"/>
                <w:sz w:val="17"/>
              </w:rPr>
              <w:t xml:space="preserve">CP, U, Q, KD, KH, FS, FC, X</w:t>
            </w:r>
          </w:p>
        </w:tc>
        <w:tc>
          <w:tcPr>
            <w:tcW w:type="dxa" w:w="2062"/>
          </w:tcPr>
          <w:p>
            <w:pPr>
              <w:pStyle w:val="BodyText"/>
              <w:keepNext w:val="0"/>
              <w:spacing w:after="80" w:line="252" w:lineRule="auto"/>
              <w:jc w:val="left"/>
            </w:pPr>
            <w:r>
              <w:rPr>
                <w:rFonts w:ascii="Calibri" w:hAnsi="Calibri"/>
                <w:sz w:val="17"/>
              </w:rPr>
              <w:t xml:space="preserve">3 / 15</w:t>
            </w:r>
          </w:p>
        </w:tc>
        <w:tc>
          <w:tcPr>
            <w:tcW w:type="dxa" w:w="2062"/>
          </w:tcPr>
          <w:p>
            <w:pPr>
              <w:pStyle w:val="BodyText"/>
              <w:keepNext w:val="0"/>
              <w:spacing w:after="80" w:line="252" w:lineRule="auto"/>
              <w:jc w:val="left"/>
            </w:pPr>
            <w:r>
              <w:rPr>
                <w:rFonts w:ascii="Calibri" w:hAnsi="Calibri"/>
                <w:sz w:val="17"/>
              </w:rPr>
              <w:t xml:space="preserve">T2, T12, T14</w:t>
            </w:r>
          </w:p>
        </w:tc>
        <w:tc>
          <w:tcPr>
            <w:tcW w:type="dxa" w:w="2062"/>
          </w:tcPr>
          <w:p>
            <w:pPr>
              <w:pStyle w:val="BodyText"/>
              <w:keepNext w:val="0"/>
              <w:spacing w:after="80" w:line="252" w:lineRule="auto"/>
              <w:jc w:val="left"/>
            </w:pPr>
            <w:r>
              <w:rPr>
                <w:rFonts w:ascii="Calibri" w:hAnsi="Calibri"/>
                <w:sz w:val="17"/>
              </w:rPr>
              <w:t xml:space="preserve">T1: missing G; T3: missing G, N; T4: missing G; T5: missing G; T6: missing G; T7: missing G; T8: missing G; T9: missing G; T10: missing G; T11: missing G; T13: missing G;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CP</w:t>
            </w:r>
          </w:p>
        </w:tc>
        <w:tc>
          <w:tcPr>
            <w:tcW w:type="dxa" w:w="2062"/>
          </w:tcPr>
          <w:p>
            <w:pPr>
              <w:pStyle w:val="BodyText"/>
              <w:keepNext w:val="0"/>
              <w:spacing w:after="80" w:line="252" w:lineRule="auto"/>
              <w:jc w:val="left"/>
            </w:pPr>
            <w:r>
              <w:rPr>
                <w:rFonts w:ascii="Calibri" w:hAnsi="Calibri"/>
                <w:sz w:val="17"/>
              </w:rPr>
              <w:t xml:space="preserve">G, U, Q, KD, KH, FS, FC, X</w:t>
            </w:r>
          </w:p>
        </w:tc>
        <w:tc>
          <w:tcPr>
            <w:tcW w:type="dxa" w:w="2062"/>
          </w:tcPr>
          <w:p>
            <w:pPr>
              <w:pStyle w:val="BodyText"/>
              <w:keepNext w:val="0"/>
              <w:spacing w:after="80" w:line="252" w:lineRule="auto"/>
              <w:jc w:val="left"/>
            </w:pPr>
            <w:r>
              <w:rPr>
                <w:rFonts w:ascii="Calibri" w:hAnsi="Calibri"/>
                <w:sz w:val="17"/>
              </w:rPr>
              <w:t xml:space="preserve">4 / 15</w:t>
            </w:r>
          </w:p>
        </w:tc>
        <w:tc>
          <w:tcPr>
            <w:tcW w:type="dxa" w:w="2062"/>
          </w:tcPr>
          <w:p>
            <w:pPr>
              <w:pStyle w:val="BodyText"/>
              <w:keepNext w:val="0"/>
              <w:spacing w:after="80" w:line="252" w:lineRule="auto"/>
              <w:jc w:val="left"/>
            </w:pPr>
            <w:r>
              <w:rPr>
                <w:rFonts w:ascii="Calibri" w:hAnsi="Calibri"/>
                <w:sz w:val="17"/>
              </w:rPr>
              <w:t xml:space="preserve">T7, T9, T12, T14</w:t>
            </w:r>
          </w:p>
        </w:tc>
        <w:tc>
          <w:tcPr>
            <w:tcW w:type="dxa" w:w="2062"/>
          </w:tcPr>
          <w:p>
            <w:pPr>
              <w:pStyle w:val="BodyText"/>
              <w:keepNext w:val="0"/>
              <w:spacing w:after="80" w:line="252" w:lineRule="auto"/>
              <w:jc w:val="left"/>
            </w:pPr>
            <w:r>
              <w:rPr>
                <w:rFonts w:ascii="Calibri" w:hAnsi="Calibri"/>
                <w:sz w:val="17"/>
              </w:rPr>
              <w:t xml:space="preserve">T1: missing CP; T2: missing CP; T3: missing N; T4: missing CP; T5: missing CP; T6: missing CP; T8: missing CP; T10: missing CP; T11: missing CP; T13: missing CP;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U</w:t>
            </w:r>
          </w:p>
        </w:tc>
        <w:tc>
          <w:tcPr>
            <w:tcW w:type="dxa" w:w="2062"/>
          </w:tcPr>
          <w:p>
            <w:pPr>
              <w:pStyle w:val="BodyText"/>
              <w:keepNext w:val="0"/>
              <w:spacing w:after="80" w:line="252" w:lineRule="auto"/>
              <w:jc w:val="left"/>
            </w:pPr>
            <w:r>
              <w:rPr>
                <w:rFonts w:ascii="Calibri" w:hAnsi="Calibri"/>
                <w:sz w:val="17"/>
              </w:rPr>
              <w:t xml:space="preserve">G, CP, Q, KD, KH, FS, FC, X</w:t>
            </w:r>
          </w:p>
        </w:tc>
        <w:tc>
          <w:tcPr>
            <w:tcW w:type="dxa" w:w="2062"/>
          </w:tcPr>
          <w:p>
            <w:pPr>
              <w:pStyle w:val="BodyText"/>
              <w:keepNext w:val="0"/>
              <w:spacing w:after="80" w:line="252" w:lineRule="auto"/>
              <w:jc w:val="left"/>
            </w:pPr>
            <w:r>
              <w:rPr>
                <w:rFonts w:ascii="Calibri" w:hAnsi="Calibri"/>
                <w:sz w:val="17"/>
              </w:rPr>
              <w:t xml:space="preserve">4 / 15</w:t>
            </w:r>
          </w:p>
        </w:tc>
        <w:tc>
          <w:tcPr>
            <w:tcW w:type="dxa" w:w="2062"/>
          </w:tcPr>
          <w:p>
            <w:pPr>
              <w:pStyle w:val="BodyText"/>
              <w:keepNext w:val="0"/>
              <w:spacing w:after="80" w:line="252" w:lineRule="auto"/>
              <w:jc w:val="left"/>
            </w:pPr>
            <w:r>
              <w:rPr>
                <w:rFonts w:ascii="Calibri" w:hAnsi="Calibri"/>
                <w:sz w:val="17"/>
              </w:rPr>
              <w:t xml:space="preserve">T7, T9, T12, T14</w:t>
            </w:r>
          </w:p>
        </w:tc>
        <w:tc>
          <w:tcPr>
            <w:tcW w:type="dxa" w:w="2062"/>
          </w:tcPr>
          <w:p>
            <w:pPr>
              <w:pStyle w:val="BodyText"/>
              <w:keepNext w:val="0"/>
              <w:spacing w:after="80" w:line="252" w:lineRule="auto"/>
              <w:jc w:val="left"/>
            </w:pPr>
            <w:r>
              <w:rPr>
                <w:rFonts w:ascii="Calibri" w:hAnsi="Calibri"/>
                <w:sz w:val="17"/>
              </w:rPr>
              <w:t xml:space="preserve">T1: missing U; T2: missing U; T3: missing U, N; T4: missing U; T5: missing U; T6: missing U; T8: missing U; T10: missing U; T11: missing U; T13: missing U;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Q</w:t>
            </w:r>
          </w:p>
        </w:tc>
        <w:tc>
          <w:tcPr>
            <w:tcW w:type="dxa" w:w="2062"/>
          </w:tcPr>
          <w:p>
            <w:pPr>
              <w:pStyle w:val="BodyText"/>
              <w:keepNext w:val="0"/>
              <w:spacing w:after="80" w:line="252" w:lineRule="auto"/>
              <w:jc w:val="left"/>
            </w:pPr>
            <w:r>
              <w:rPr>
                <w:rFonts w:ascii="Calibri" w:hAnsi="Calibri"/>
                <w:sz w:val="17"/>
              </w:rPr>
              <w:t xml:space="preserve">G, CP, U, KD, KH, FS, FC, X</w:t>
            </w:r>
          </w:p>
        </w:tc>
        <w:tc>
          <w:tcPr>
            <w:tcW w:type="dxa" w:w="2062"/>
          </w:tcPr>
          <w:p>
            <w:pPr>
              <w:pStyle w:val="BodyText"/>
              <w:keepNext w:val="0"/>
              <w:spacing w:after="80" w:line="252" w:lineRule="auto"/>
              <w:jc w:val="left"/>
            </w:pPr>
            <w:r>
              <w:rPr>
                <w:rFonts w:ascii="Calibri" w:hAnsi="Calibri"/>
                <w:sz w:val="17"/>
              </w:rPr>
              <w:t xml:space="preserve">9 / 15</w:t>
            </w:r>
          </w:p>
        </w:tc>
        <w:tc>
          <w:tcPr>
            <w:tcW w:type="dxa" w:w="2062"/>
          </w:tcPr>
          <w:p>
            <w:pPr>
              <w:pStyle w:val="BodyText"/>
              <w:keepNext w:val="0"/>
              <w:spacing w:after="80" w:line="252" w:lineRule="auto"/>
              <w:jc w:val="left"/>
            </w:pPr>
            <w:r>
              <w:rPr>
                <w:rFonts w:ascii="Calibri" w:hAnsi="Calibri"/>
                <w:sz w:val="17"/>
              </w:rPr>
              <w:t xml:space="preserve">T1, T4, T5, T6, T10, T11, T12, T13, T14</w:t>
            </w:r>
          </w:p>
        </w:tc>
        <w:tc>
          <w:tcPr>
            <w:tcW w:type="dxa" w:w="2062"/>
          </w:tcPr>
          <w:p>
            <w:pPr>
              <w:pStyle w:val="BodyText"/>
              <w:keepNext w:val="0"/>
              <w:spacing w:after="80" w:line="252" w:lineRule="auto"/>
              <w:jc w:val="left"/>
            </w:pPr>
            <w:r>
              <w:rPr>
                <w:rFonts w:ascii="Calibri" w:hAnsi="Calibri"/>
                <w:sz w:val="17"/>
              </w:rPr>
              <w:t xml:space="preserve">T2: missing Q; T3: missing Q, N; T7: missing Q; T8: missing Q; T9: missing Q;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KD</w:t>
            </w:r>
          </w:p>
        </w:tc>
        <w:tc>
          <w:tcPr>
            <w:tcW w:type="dxa" w:w="2062"/>
          </w:tcPr>
          <w:p>
            <w:pPr>
              <w:pStyle w:val="BodyText"/>
              <w:keepNext w:val="0"/>
              <w:spacing w:after="80" w:line="252" w:lineRule="auto"/>
              <w:jc w:val="left"/>
            </w:pPr>
            <w:r>
              <w:rPr>
                <w:rFonts w:ascii="Calibri" w:hAnsi="Calibri"/>
                <w:sz w:val="17"/>
              </w:rPr>
              <w:t xml:space="preserve">G, CP, U, Q, KH, FS, FC, X</w:t>
            </w:r>
          </w:p>
        </w:tc>
        <w:tc>
          <w:tcPr>
            <w:tcW w:type="dxa" w:w="2062"/>
          </w:tcPr>
          <w:p>
            <w:pPr>
              <w:pStyle w:val="BodyText"/>
              <w:keepNext w:val="0"/>
              <w:spacing w:after="80" w:line="252" w:lineRule="auto"/>
              <w:jc w:val="left"/>
            </w:pPr>
            <w:r>
              <w:rPr>
                <w:rFonts w:ascii="Calibri" w:hAnsi="Calibri"/>
                <w:sz w:val="17"/>
              </w:rPr>
              <w:t xml:space="preserve">10 / 15</w:t>
            </w:r>
          </w:p>
        </w:tc>
        <w:tc>
          <w:tcPr>
            <w:tcW w:type="dxa" w:w="2062"/>
          </w:tcPr>
          <w:p>
            <w:pPr>
              <w:pStyle w:val="BodyText"/>
              <w:keepNext w:val="0"/>
              <w:spacing w:after="80" w:line="252" w:lineRule="auto"/>
              <w:jc w:val="left"/>
            </w:pPr>
            <w:r>
              <w:rPr>
                <w:rFonts w:ascii="Calibri" w:hAnsi="Calibri"/>
                <w:sz w:val="17"/>
              </w:rPr>
              <w:t xml:space="preserve">T2, T4, T6, T7, T8, T9, T10, T11, T12, T14</w:t>
            </w:r>
          </w:p>
        </w:tc>
        <w:tc>
          <w:tcPr>
            <w:tcW w:type="dxa" w:w="2062"/>
          </w:tcPr>
          <w:p>
            <w:pPr>
              <w:pStyle w:val="BodyText"/>
              <w:keepNext w:val="0"/>
              <w:spacing w:after="80" w:line="252" w:lineRule="auto"/>
              <w:jc w:val="left"/>
            </w:pPr>
            <w:r>
              <w:rPr>
                <w:rFonts w:ascii="Calibri" w:hAnsi="Calibri"/>
                <w:sz w:val="17"/>
              </w:rPr>
              <w:t xml:space="preserve">T1: missing KD; T3: missing KD, N; T5: missing KD; T13: missing KD;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KH</w:t>
            </w:r>
          </w:p>
        </w:tc>
        <w:tc>
          <w:tcPr>
            <w:tcW w:type="dxa" w:w="2062"/>
          </w:tcPr>
          <w:p>
            <w:pPr>
              <w:pStyle w:val="BodyText"/>
              <w:keepNext w:val="0"/>
              <w:spacing w:after="80" w:line="252" w:lineRule="auto"/>
              <w:jc w:val="left"/>
            </w:pPr>
            <w:r>
              <w:rPr>
                <w:rFonts w:ascii="Calibri" w:hAnsi="Calibri"/>
                <w:sz w:val="17"/>
              </w:rPr>
              <w:t xml:space="preserve">G, CP, U, Q, KD, FS, FC, X</w:t>
            </w:r>
          </w:p>
        </w:tc>
        <w:tc>
          <w:tcPr>
            <w:tcW w:type="dxa" w:w="2062"/>
          </w:tcPr>
          <w:p>
            <w:pPr>
              <w:pStyle w:val="BodyText"/>
              <w:keepNext w:val="0"/>
              <w:spacing w:after="80" w:line="252" w:lineRule="auto"/>
              <w:jc w:val="left"/>
            </w:pPr>
            <w:r>
              <w:rPr>
                <w:rFonts w:ascii="Calibri" w:hAnsi="Calibri"/>
                <w:sz w:val="17"/>
              </w:rPr>
              <w:t xml:space="preserve">10 / 15</w:t>
            </w:r>
          </w:p>
        </w:tc>
        <w:tc>
          <w:tcPr>
            <w:tcW w:type="dxa" w:w="2062"/>
          </w:tcPr>
          <w:p>
            <w:pPr>
              <w:pStyle w:val="BodyText"/>
              <w:keepNext w:val="0"/>
              <w:spacing w:after="80" w:line="252" w:lineRule="auto"/>
              <w:jc w:val="left"/>
            </w:pPr>
            <w:r>
              <w:rPr>
                <w:rFonts w:ascii="Calibri" w:hAnsi="Calibri"/>
                <w:sz w:val="17"/>
              </w:rPr>
              <w:t xml:space="preserve">T2, T4, T6, T7, T8, T9, T11, T12, T13, T14</w:t>
            </w:r>
          </w:p>
        </w:tc>
        <w:tc>
          <w:tcPr>
            <w:tcW w:type="dxa" w:w="2062"/>
          </w:tcPr>
          <w:p>
            <w:pPr>
              <w:pStyle w:val="BodyText"/>
              <w:keepNext w:val="0"/>
              <w:spacing w:after="80" w:line="252" w:lineRule="auto"/>
              <w:jc w:val="left"/>
            </w:pPr>
            <w:r>
              <w:rPr>
                <w:rFonts w:ascii="Calibri" w:hAnsi="Calibri"/>
                <w:sz w:val="17"/>
              </w:rPr>
              <w:t xml:space="preserve">T1: missing KH; T3: missing N; T5: missing KH; T10: missing KH;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FS</w:t>
            </w:r>
          </w:p>
        </w:tc>
        <w:tc>
          <w:tcPr>
            <w:tcW w:type="dxa" w:w="2062"/>
          </w:tcPr>
          <w:p>
            <w:pPr>
              <w:pStyle w:val="BodyText"/>
              <w:keepNext w:val="0"/>
              <w:spacing w:after="80" w:line="252" w:lineRule="auto"/>
              <w:jc w:val="left"/>
            </w:pPr>
            <w:r>
              <w:rPr>
                <w:rFonts w:ascii="Calibri" w:hAnsi="Calibri"/>
                <w:sz w:val="17"/>
              </w:rPr>
              <w:t xml:space="preserve">G, CP, U, Q, KD, KH, FC, X</w:t>
            </w:r>
          </w:p>
        </w:tc>
        <w:tc>
          <w:tcPr>
            <w:tcW w:type="dxa" w:w="2062"/>
          </w:tcPr>
          <w:p>
            <w:pPr>
              <w:pStyle w:val="BodyText"/>
              <w:keepNext w:val="0"/>
              <w:spacing w:after="80" w:line="252" w:lineRule="auto"/>
              <w:jc w:val="left"/>
            </w:pPr>
            <w:r>
              <w:rPr>
                <w:rFonts w:ascii="Calibri" w:hAnsi="Calibri"/>
                <w:sz w:val="17"/>
              </w:rPr>
              <w:t xml:space="preserve">6 / 15</w:t>
            </w:r>
          </w:p>
        </w:tc>
        <w:tc>
          <w:tcPr>
            <w:tcW w:type="dxa" w:w="2062"/>
          </w:tcPr>
          <w:p>
            <w:pPr>
              <w:pStyle w:val="BodyText"/>
              <w:keepNext w:val="0"/>
              <w:spacing w:after="80" w:line="252" w:lineRule="auto"/>
              <w:jc w:val="left"/>
            </w:pPr>
            <w:r>
              <w:rPr>
                <w:rFonts w:ascii="Calibri" w:hAnsi="Calibri"/>
                <w:sz w:val="17"/>
              </w:rPr>
              <w:t xml:space="preserve">T2, T4, T8, T9, T11, T13</w:t>
            </w:r>
          </w:p>
        </w:tc>
        <w:tc>
          <w:tcPr>
            <w:tcW w:type="dxa" w:w="2062"/>
          </w:tcPr>
          <w:p>
            <w:pPr>
              <w:pStyle w:val="BodyText"/>
              <w:keepNext w:val="0"/>
              <w:spacing w:after="80" w:line="252" w:lineRule="auto"/>
              <w:jc w:val="left"/>
            </w:pPr>
            <w:r>
              <w:rPr>
                <w:rFonts w:ascii="Calibri" w:hAnsi="Calibri"/>
                <w:sz w:val="17"/>
              </w:rPr>
              <w:t xml:space="preserve">T1: missing FS; T3: missing N; T5: missing FS; T6: missing FS; T7: missing FS; T10: missing FS; T12: missing FS; T14: missing FS;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FC</w:t>
            </w:r>
          </w:p>
        </w:tc>
        <w:tc>
          <w:tcPr>
            <w:tcW w:type="dxa" w:w="2062"/>
          </w:tcPr>
          <w:p>
            <w:pPr>
              <w:pStyle w:val="BodyText"/>
              <w:keepNext w:val="0"/>
              <w:spacing w:after="80" w:line="252" w:lineRule="auto"/>
              <w:jc w:val="left"/>
            </w:pPr>
            <w:r>
              <w:rPr>
                <w:rFonts w:ascii="Calibri" w:hAnsi="Calibri"/>
                <w:sz w:val="17"/>
              </w:rPr>
              <w:t xml:space="preserve">G, CP, U, Q, KD, KH, FS, X</w:t>
            </w:r>
          </w:p>
        </w:tc>
        <w:tc>
          <w:tcPr>
            <w:tcW w:type="dxa" w:w="2062"/>
          </w:tcPr>
          <w:p>
            <w:pPr>
              <w:pStyle w:val="BodyText"/>
              <w:keepNext w:val="0"/>
              <w:spacing w:after="80" w:line="252" w:lineRule="auto"/>
              <w:jc w:val="left"/>
            </w:pPr>
            <w:r>
              <w:rPr>
                <w:rFonts w:ascii="Calibri" w:hAnsi="Calibri"/>
                <w:sz w:val="17"/>
              </w:rPr>
              <w:t xml:space="preserve">6 / 15</w:t>
            </w:r>
          </w:p>
        </w:tc>
        <w:tc>
          <w:tcPr>
            <w:tcW w:type="dxa" w:w="2062"/>
          </w:tcPr>
          <w:p>
            <w:pPr>
              <w:pStyle w:val="BodyText"/>
              <w:keepNext w:val="0"/>
              <w:spacing w:after="80" w:line="252" w:lineRule="auto"/>
              <w:jc w:val="left"/>
            </w:pPr>
            <w:r>
              <w:rPr>
                <w:rFonts w:ascii="Calibri" w:hAnsi="Calibri"/>
                <w:sz w:val="17"/>
              </w:rPr>
              <w:t xml:space="preserve">T2, T4, T8, T9, T11, T13</w:t>
            </w:r>
          </w:p>
        </w:tc>
        <w:tc>
          <w:tcPr>
            <w:tcW w:type="dxa" w:w="2062"/>
          </w:tcPr>
          <w:p>
            <w:pPr>
              <w:pStyle w:val="BodyText"/>
              <w:keepNext w:val="0"/>
              <w:spacing w:after="80" w:line="252" w:lineRule="auto"/>
              <w:jc w:val="left"/>
            </w:pPr>
            <w:r>
              <w:rPr>
                <w:rFonts w:ascii="Calibri" w:hAnsi="Calibri"/>
                <w:sz w:val="17"/>
              </w:rPr>
              <w:t xml:space="preserve">T1: missing FC; T3: missing N; T5: missing FC; T6: missing FC; T7: missing FC; T10: missing FC; T12: missing FC; T14: missing FC;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X</w:t>
            </w:r>
          </w:p>
        </w:tc>
        <w:tc>
          <w:tcPr>
            <w:tcW w:type="dxa" w:w="2062"/>
          </w:tcPr>
          <w:p>
            <w:pPr>
              <w:pStyle w:val="BodyText"/>
              <w:keepNext w:val="0"/>
              <w:spacing w:after="80" w:line="252" w:lineRule="auto"/>
              <w:jc w:val="left"/>
            </w:pPr>
            <w:r>
              <w:rPr>
                <w:rFonts w:ascii="Calibri" w:hAnsi="Calibri"/>
                <w:sz w:val="17"/>
              </w:rPr>
              <w:t xml:space="preserve">G, CP, U, Q, KD, KH, FS, FC</w:t>
            </w:r>
          </w:p>
        </w:tc>
        <w:tc>
          <w:tcPr>
            <w:tcW w:type="dxa" w:w="2062"/>
          </w:tcPr>
          <w:p>
            <w:pPr>
              <w:pStyle w:val="BodyText"/>
              <w:keepNext w:val="0"/>
              <w:spacing w:after="80" w:line="252" w:lineRule="auto"/>
              <w:jc w:val="left"/>
            </w:pPr>
            <w:r>
              <w:rPr>
                <w:rFonts w:ascii="Calibri" w:hAnsi="Calibri"/>
                <w:sz w:val="17"/>
              </w:rPr>
              <w:t xml:space="preserve">10 / 15</w:t>
            </w:r>
          </w:p>
        </w:tc>
        <w:tc>
          <w:tcPr>
            <w:tcW w:type="dxa" w:w="2062"/>
          </w:tcPr>
          <w:p>
            <w:pPr>
              <w:pStyle w:val="BodyText"/>
              <w:keepNext w:val="0"/>
              <w:spacing w:after="80" w:line="252" w:lineRule="auto"/>
              <w:jc w:val="left"/>
            </w:pPr>
            <w:r>
              <w:rPr>
                <w:rFonts w:ascii="Calibri" w:hAnsi="Calibri"/>
                <w:sz w:val="17"/>
              </w:rPr>
              <w:t xml:space="preserve">T1, T2, T4, T5, T6, T7, T9, T10, T12, T14</w:t>
            </w:r>
          </w:p>
        </w:tc>
        <w:tc>
          <w:tcPr>
            <w:tcW w:type="dxa" w:w="2062"/>
          </w:tcPr>
          <w:p>
            <w:pPr>
              <w:pStyle w:val="BodyText"/>
              <w:keepNext w:val="0"/>
              <w:spacing w:after="80" w:line="252" w:lineRule="auto"/>
              <w:jc w:val="left"/>
            </w:pPr>
            <w:r>
              <w:rPr>
                <w:rFonts w:ascii="Calibri" w:hAnsi="Calibri"/>
                <w:sz w:val="17"/>
              </w:rPr>
              <w:t xml:space="preserve">T3: missing N; T8: missing X; T11: missing X; T13: missing X; T15: missing X, V</w:t>
            </w:r>
          </w:p>
        </w:tc>
      </w:tr>
      <w:tr>
        <w:tc>
          <w:tcPr>
            <w:tcW w:type="dxa" w:w="1689"/>
          </w:tcPr>
          <w:p>
            <w:pPr>
              <w:pStyle w:val="BodyText"/>
              <w:keepNext w:val="0"/>
              <w:spacing w:after="80" w:line="252" w:lineRule="auto"/>
              <w:jc w:val="left"/>
            </w:pPr>
            <w:r>
              <w:rPr>
                <w:rFonts w:ascii="Calibri" w:hAnsi="Calibri"/>
                <w:sz w:val="17"/>
              </w:rPr>
              <w:t xml:space="preserve">Original selection with N</w:t>
            </w:r>
          </w:p>
        </w:tc>
        <w:tc>
          <w:tcPr>
            <w:tcW w:type="dxa" w:w="2062"/>
          </w:tcPr>
          <w:p>
            <w:pPr>
              <w:pStyle w:val="BodyText"/>
              <w:keepNext w:val="0"/>
              <w:spacing w:after="80" w:line="252" w:lineRule="auto"/>
              <w:jc w:val="left"/>
            </w:pPr>
            <w:r>
              <w:rPr>
                <w:rFonts w:ascii="Calibri" w:hAnsi="Calibri"/>
                <w:sz w:val="17"/>
              </w:rPr>
              <w:t xml:space="preserve">G, CP, U, Q, KD, KH, FS, FC, X, N</w:t>
            </w:r>
          </w:p>
        </w:tc>
        <w:tc>
          <w:tcPr>
            <w:tcW w:type="dxa" w:w="2062"/>
          </w:tcPr>
          <w:p>
            <w:pPr>
              <w:pStyle w:val="BodyText"/>
              <w:keepNext w:val="0"/>
              <w:spacing w:after="80" w:line="252" w:lineRule="auto"/>
              <w:jc w:val="left"/>
            </w:pPr>
            <w:r>
              <w:rPr>
                <w:rFonts w:ascii="Calibri" w:hAnsi="Calibri"/>
                <w:sz w:val="17"/>
              </w:rPr>
              <w:t xml:space="preserve">14 / 15</w:t>
            </w:r>
          </w:p>
        </w:tc>
        <w:tc>
          <w:tcPr>
            <w:tcW w:type="dxa" w:w="2062"/>
          </w:tcPr>
          <w:p>
            <w:pPr>
              <w:pStyle w:val="BodyText"/>
              <w:keepNext w:val="0"/>
              <w:spacing w:after="80" w:line="252" w:lineRule="auto"/>
              <w:jc w:val="left"/>
            </w:pPr>
            <w:r>
              <w:rPr>
                <w:rFonts w:ascii="Calibri" w:hAnsi="Calibri"/>
                <w:sz w:val="17"/>
              </w:rPr>
              <w:t xml:space="preserve">T1, T2, T3, T4, T5, T6, T7, T8, T9, T10, T11, T12, T13, T14</w:t>
            </w:r>
          </w:p>
        </w:tc>
        <w:tc>
          <w:tcPr>
            <w:tcW w:type="dxa" w:w="2062"/>
          </w:tcPr>
          <w:p>
            <w:pPr>
              <w:pStyle w:val="BodyText"/>
              <w:keepNext w:val="0"/>
              <w:spacing w:after="80" w:line="252" w:lineRule="auto"/>
              <w:jc w:val="left"/>
            </w:pPr>
            <w:r>
              <w:rPr>
                <w:rFonts w:ascii="Calibri" w:hAnsi="Calibri"/>
                <w:sz w:val="17"/>
              </w:rPr>
              <w:t xml:space="preserve">T15: missing V</w:t>
            </w:r>
          </w:p>
        </w:tc>
      </w:tr>
      <w:tr>
        <w:tc>
          <w:tcPr>
            <w:tcW w:type="dxa" w:w="1689"/>
          </w:tcPr>
          <w:p>
            <w:pPr>
              <w:pStyle w:val="BodyText"/>
              <w:keepNext w:val="0"/>
              <w:spacing w:after="80" w:line="252" w:lineRule="auto"/>
              <w:jc w:val="left"/>
            </w:pPr>
            <w:r>
              <w:rPr>
                <w:rFonts w:ascii="Calibri" w:hAnsi="Calibri"/>
                <w:sz w:val="17"/>
              </w:rPr>
              <w:t xml:space="preserve">Original selection with V</w:t>
            </w:r>
          </w:p>
        </w:tc>
        <w:tc>
          <w:tcPr>
            <w:tcW w:type="dxa" w:w="2062"/>
          </w:tcPr>
          <w:p>
            <w:pPr>
              <w:pStyle w:val="BodyText"/>
              <w:keepNext w:val="0"/>
              <w:spacing w:after="80" w:line="252" w:lineRule="auto"/>
              <w:jc w:val="left"/>
            </w:pPr>
            <w:r>
              <w:rPr>
                <w:rFonts w:ascii="Calibri" w:hAnsi="Calibri"/>
                <w:sz w:val="17"/>
              </w:rPr>
              <w:t xml:space="preserve">G, CP, U, Q, KD, KH, FS, FC, X, V</w:t>
            </w:r>
          </w:p>
        </w:tc>
        <w:tc>
          <w:tcPr>
            <w:tcW w:type="dxa" w:w="2062"/>
          </w:tcPr>
          <w:p>
            <w:pPr>
              <w:pStyle w:val="BodyText"/>
              <w:keepNext w:val="0"/>
              <w:spacing w:after="80" w:line="252" w:lineRule="auto"/>
              <w:jc w:val="left"/>
            </w:pPr>
            <w:r>
              <w:rPr>
                <w:rFonts w:ascii="Calibri" w:hAnsi="Calibri"/>
                <w:sz w:val="17"/>
              </w:rPr>
              <w:t xml:space="preserve">14 / 15</w:t>
            </w:r>
          </w:p>
        </w:tc>
        <w:tc>
          <w:tcPr>
            <w:tcW w:type="dxa" w:w="2062"/>
          </w:tcPr>
          <w:p>
            <w:pPr>
              <w:pStyle w:val="BodyText"/>
              <w:keepNext w:val="0"/>
              <w:spacing w:after="80" w:line="252" w:lineRule="auto"/>
              <w:jc w:val="left"/>
            </w:pPr>
            <w:r>
              <w:rPr>
                <w:rFonts w:ascii="Calibri" w:hAnsi="Calibri"/>
                <w:sz w:val="17"/>
              </w:rPr>
              <w:t xml:space="preserve">T1, T2, T4, T5, T6, T7, T8, T9, T10, T11, T12, T13, T14, T15</w:t>
            </w:r>
          </w:p>
        </w:tc>
        <w:tc>
          <w:tcPr>
            <w:tcW w:type="dxa" w:w="2062"/>
          </w:tcPr>
          <w:p>
            <w:pPr>
              <w:pStyle w:val="BodyText"/>
              <w:keepNext w:val="0"/>
              <w:spacing w:after="80" w:line="252" w:lineRule="auto"/>
              <w:jc w:val="left"/>
            </w:pPr>
            <w:r>
              <w:rPr>
                <w:rFonts w:ascii="Calibri" w:hAnsi="Calibri"/>
                <w:sz w:val="17"/>
              </w:rPr>
              <w:t xml:space="preserve">T3: missing N</w:t>
            </w:r>
          </w:p>
        </w:tc>
      </w:tr>
      <w:tr>
        <w:tc>
          <w:tcPr>
            <w:tcW w:type="dxa" w:w="1689"/>
          </w:tcPr>
          <w:p>
            <w:pPr>
              <w:pStyle w:val="BodyText"/>
              <w:keepNext w:val="0"/>
              <w:spacing w:after="80" w:line="252" w:lineRule="auto"/>
              <w:jc w:val="left"/>
            </w:pPr>
            <w:r>
              <w:rPr>
                <w:rFonts w:ascii="Calibri" w:hAnsi="Calibri"/>
                <w:sz w:val="17"/>
              </w:rPr>
              <w:t xml:space="preserve">Original selection with W</w:t>
            </w:r>
          </w:p>
        </w:tc>
        <w:tc>
          <w:tcPr>
            <w:tcW w:type="dxa" w:w="2062"/>
          </w:tcPr>
          <w:p>
            <w:pPr>
              <w:pStyle w:val="BodyText"/>
              <w:keepNext w:val="0"/>
              <w:spacing w:after="80" w:line="252" w:lineRule="auto"/>
              <w:jc w:val="left"/>
            </w:pPr>
            <w:r>
              <w:rPr>
                <w:rFonts w:ascii="Calibri" w:hAnsi="Calibri"/>
                <w:sz w:val="17"/>
              </w:rPr>
              <w:t xml:space="preserve">G, CP, U, Q, KD, KH, FS, FC, X, W</w:t>
            </w:r>
          </w:p>
        </w:tc>
        <w:tc>
          <w:tcPr>
            <w:tcW w:type="dxa" w:w="2062"/>
          </w:tcPr>
          <w:p>
            <w:pPr>
              <w:pStyle w:val="BodyText"/>
              <w:keepNext w:val="0"/>
              <w:spacing w:after="80" w:line="252" w:lineRule="auto"/>
              <w:jc w:val="left"/>
            </w:pPr>
            <w:r>
              <w:rPr>
                <w:rFonts w:ascii="Calibri" w:hAnsi="Calibri"/>
                <w:sz w:val="17"/>
              </w:rPr>
              <w:t xml:space="preserve">13 / 15</w:t>
            </w:r>
          </w:p>
        </w:tc>
        <w:tc>
          <w:tcPr>
            <w:tcW w:type="dxa" w:w="2062"/>
          </w:tcPr>
          <w:p>
            <w:pPr>
              <w:pStyle w:val="BodyText"/>
              <w:keepNext w:val="0"/>
              <w:spacing w:after="80" w:line="252" w:lineRule="auto"/>
              <w:jc w:val="left"/>
            </w:pPr>
            <w:r>
              <w:rPr>
                <w:rFonts w:ascii="Calibri" w:hAnsi="Calibri"/>
                <w:sz w:val="17"/>
              </w:rPr>
              <w:t xml:space="preserve">T1, T2, T4, T5, T6, T7, T8, T9, T10, T11, T12, T13, T14</w:t>
            </w:r>
          </w:p>
        </w:tc>
        <w:tc>
          <w:tcPr>
            <w:tcW w:type="dxa" w:w="2062"/>
          </w:tcPr>
          <w:p>
            <w:pPr>
              <w:pStyle w:val="BodyText"/>
              <w:keepNext w:val="0"/>
              <w:spacing w:after="80" w:line="252" w:lineRule="auto"/>
              <w:jc w:val="left"/>
            </w:pPr>
            <w:r>
              <w:rPr>
                <w:rFonts w:ascii="Calibri" w:hAnsi="Calibri"/>
                <w:sz w:val="17"/>
              </w:rPr>
              <w:t xml:space="preserve">T3: missing N; T15: missing V</w:t>
            </w:r>
          </w:p>
        </w:tc>
      </w:tr>
    </w:tbl>
    <w:p>
      <w:pPr>
        <w:pStyle w:val="BodyText"/>
      </w:pPr>
      <w:r>
        <w:t xml:space="preserve">These rows reconstruct the live explorer from each theorem’s actual requires list. They do not assert that no alternative proof or retained substitute exists. Countermodels and their philosophical scope are in the formal architecture included with this backup.</w:t>
      </w:r>
    </w:p>
    <w:bookmarkEnd w:id="145"/>
    <w:bookmarkStart w:id="146" w:name="X4f60d9fdf7fd4b50b1ada39daaa87987c168064"/>
    <w:p>
      <w:pPr>
        <w:pStyle w:val="Heading3"/>
      </w:pPr>
      <w:r>
        <w:t xml:space="preserve">Freedom-check messages shown by the live explorer</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State</w:t>
            </w:r>
          </w:p>
        </w:tc>
        <w:tc>
          <w:tcPr>
            <w:tcW w:type="dxa" w:w="7452"/>
            <w:shd w:fill="EAE5DA"/>
          </w:tcPr>
          <w:p>
            <w:pPr>
              <w:pStyle w:val="BodyText"/>
              <w:keepNext w:val="0"/>
              <w:spacing w:after="80" w:line="252" w:lineRule="auto"/>
              <w:jc w:val="left"/>
            </w:pPr>
            <w:r>
              <w:rPr>
                <w:rFonts w:ascii="Calibri" w:hAnsi="Calibri"/>
                <w:b/>
                <w:sz w:val="17"/>
              </w:rPr>
              <w:t xml:space="preserve">Displayed diagnosis</w:t>
            </w:r>
          </w:p>
        </w:tc>
      </w:tr>
      <w:tr>
        <w:tc>
          <w:tcPr>
            <w:tcW w:type="dxa" w:w="2484"/>
          </w:tcPr>
          <w:p>
            <w:pPr>
              <w:pStyle w:val="BodyText"/>
              <w:keepNext w:val="0"/>
              <w:spacing w:after="80" w:line="252" w:lineRule="auto"/>
              <w:jc w:val="left"/>
            </w:pPr>
            <w:r>
              <w:rPr>
                <w:rFonts w:ascii="Calibri" w:hAnsi="Calibri"/>
                <w:sz w:val="17"/>
              </w:rPr>
              <w:t xml:space="preserve">All nine original clauses selected</w:t>
            </w:r>
          </w:p>
        </w:tc>
        <w:tc>
          <w:tcPr>
            <w:tcW w:type="dxa" w:w="7452"/>
          </w:tcPr>
          <w:p>
            <w:pPr>
              <w:pStyle w:val="BodyText"/>
              <w:keepNext w:val="0"/>
              <w:spacing w:after="80" w:line="252" w:lineRule="auto"/>
              <w:jc w:val="left"/>
            </w:pPr>
            <w:r>
              <w:rPr>
                <w:rFonts w:ascii="Calibri" w:hAnsi="Calibri"/>
                <w:sz w:val="17"/>
              </w:rPr>
              <w:t xml:space="preserve">The strict no-common-genus result needs N. Contingency needs V; intentional freedom also needs W. Genuine secondary agency remains a separate commitment.</w:t>
            </w:r>
          </w:p>
        </w:tc>
      </w:tr>
      <w:tr>
        <w:tc>
          <w:tcPr>
            <w:tcW w:type="dxa" w:w="2484"/>
          </w:tcPr>
          <w:p>
            <w:pPr>
              <w:pStyle w:val="BodyText"/>
              <w:keepNext w:val="0"/>
              <w:spacing w:after="80" w:line="252" w:lineRule="auto"/>
              <w:jc w:val="left"/>
            </w:pPr>
            <w:r>
              <w:rPr>
                <w:rFonts w:ascii="Calibri" w:hAnsi="Calibri"/>
                <w:sz w:val="17"/>
              </w:rPr>
              <w:t xml:space="preserve">V selected without W</w:t>
            </w:r>
          </w:p>
        </w:tc>
        <w:tc>
          <w:tcPr>
            <w:tcW w:type="dxa" w:w="7452"/>
          </w:tcPr>
          <w:p>
            <w:pPr>
              <w:pStyle w:val="BodyText"/>
              <w:keepNext w:val="0"/>
              <w:spacing w:after="80" w:line="252" w:lineRule="auto"/>
              <w:jc w:val="left"/>
            </w:pPr>
            <w:r>
              <w:rPr>
                <w:rFonts w:ascii="Calibri" w:hAnsi="Calibri"/>
                <w:sz w:val="17"/>
              </w:rPr>
              <w:t xml:space="preserve">Live alternatives are selected. Intentional freedom remains unestablished until W is added.</w:t>
            </w:r>
          </w:p>
        </w:tc>
      </w:tr>
      <w:tr>
        <w:tc>
          <w:tcPr>
            <w:tcW w:type="dxa" w:w="2484"/>
          </w:tcPr>
          <w:p>
            <w:pPr>
              <w:pStyle w:val="BodyText"/>
              <w:keepNext w:val="0"/>
              <w:spacing w:after="80" w:line="252" w:lineRule="auto"/>
              <w:jc w:val="left"/>
            </w:pPr>
            <w:r>
              <w:rPr>
                <w:rFonts w:ascii="Calibri" w:hAnsi="Calibri"/>
                <w:sz w:val="17"/>
              </w:rPr>
              <w:t xml:space="preserve">V and W selected</w:t>
            </w:r>
          </w:p>
        </w:tc>
        <w:tc>
          <w:tcPr>
            <w:tcW w:type="dxa" w:w="7452"/>
          </w:tcPr>
          <w:p>
            <w:pPr>
              <w:pStyle w:val="BodyText"/>
              <w:keepNext w:val="0"/>
              <w:spacing w:after="80" w:line="252" w:lineRule="auto"/>
              <w:jc w:val="left"/>
            </w:pPr>
            <w:r>
              <w:rPr>
                <w:rFonts w:ascii="Calibri" w:hAnsi="Calibri"/>
                <w:sz w:val="17"/>
              </w:rPr>
              <w:t xml:space="preserve">V + W adds intentional choice among alternatives. This is an extension, not a theorem of non-exhaustion.</w:t>
            </w:r>
          </w:p>
        </w:tc>
      </w:tr>
    </w:tbl>
    <w:bookmarkEnd w:id="146"/>
    <w:bookmarkEnd w:id="147"/>
    <w:p>
      <w:pPr>
        <w:pStyle w:val="Heading1"/>
      </w:pPr>
      <w:r>
        <w:t xml:space="preserve">Appendix A — report.md</w:t>
      </w:r>
    </w:p>
    <w:p>
      <w:pPr>
        <w:pStyle w:val="FirstParagraph"/>
      </w:pPr>
      <w:r>
        <w:t xml:space="preserve">Original research file: https:/​/​participation-​6o4.​pages.​dev/​research/​report.​md</w:t>
      </w:r>
    </w:p>
    <w:bookmarkStart w:id="177" w:name="Xa612323840c2542eae9bcd30d8c3bee9886bbd6"/>
    <w:p>
      <w:pPr>
        <w:pStyle w:val="Heading2"/>
      </w:pPr>
      <w:r>
        <w:t xml:space="preserve">Minimal Generative Grammar of Participation</w:t>
      </w:r>
    </w:p>
    <w:p>
      <w:pPr>
        <w:pStyle w:val="FirstParagraph"/>
      </w:pPr>
      <w:r>
        <w:rPr>
          <w:b/>
          <w:bCs/>
        </w:rPr>
        <w:t xml:space="preserve">Constructive research synthesis — provisional historical verification.</w:t>
      </w:r>
      <w:r>
        <w:t xml:space="preserve"> </w:t>
      </w:r>
      <w:r>
        <w:t xml:space="preserve">The main argument is self-contained; the linked dossiers provide historical and formal depth. This is not defined doctrine, a complete critical-edition survey, a proof of God’s existence, or a proof of global minimality.</w:t>
      </w:r>
    </w:p>
    <w:bookmarkStart w:id="150" w:name="what-this-page-is"/>
    <w:p>
      <w:pPr>
        <w:pStyle w:val="Heading3"/>
      </w:pPr>
      <w:r>
        <w:t xml:space="preserve">00 / What this page is</w:t>
      </w:r>
    </w:p>
    <w:bookmarkStart w:id="148" w:name="Xf5df08ae54450661e1e5b1efab3be0044c38419"/>
    <w:p>
      <w:pPr>
        <w:pStyle w:val="Heading4"/>
      </w:pPr>
      <w:r>
        <w:t xml:space="preserve">A constructive reconstruction of participation metaphysics</w:t>
      </w:r>
    </w:p>
    <w:p>
      <w:pPr>
        <w:pStyle w:val="FirstParagraph"/>
      </w:pPr>
      <w:r>
        <w:t xml:space="preserve">This page asks a deliberately narrow question: what is the smallest honest metaphysical grammar needed to explain how a finite creature can be from God, genuinely like God, and yet remain genuinely other than God?</w:t>
      </w:r>
    </w:p>
    <w:p>
      <w:pPr>
        <w:pStyle w:val="BodyText"/>
      </w:pPr>
      <w:r>
        <w:t xml:space="preserve">A creature can receive its life and genuinely live it. A power can be given and genuinely belong to the one who exercises it. Christian participation metaphysics begins with that conjunction: real possession without independence. Created being, goodness, life, intelligibility, and power come from God, yet creatures are not pieces of God. Their actuality is received according to their own modes; the divine source is neither divided among them nor completed by them.</w:t>
      </w:r>
    </w:p>
    <w:p>
      <w:pPr>
        <w:pStyle w:val="BodyText"/>
      </w:pPr>
      <w:r>
        <w:t xml:space="preserve">The problem is to explain this conjunction rather than repeat it. Participation, analogy, exemplarism, procession, likeness, and return often carry several claims together. This inquiry separates them: what makes a creature actual, what it depends upon, what it genuinely possesses, what it consists of, what it can express, and what would fulfill it. It then asks what warrants each passage. Participation is the connective relation, not a substitute for those arguments.</w:t>
      </w:r>
    </w:p>
    <w:p>
      <w:pPr>
        <w:pStyle w:val="BodyText"/>
      </w:pPr>
      <w:r>
        <w:t xml:space="preserve">The initial hypothesis was that actuality, received dependence, and measure might be sufficient. The proposed reconstruction needs more. Dependence alone does not establish likeness. Underivation excludes proper intrinsic constituents only when composition entails dependence. A finite effect’s inability to exhaust an unlimited source does not establish that the source was free not to produce it. Identifying these missing bridges makes the account stronger: every conclusion receives its own reason rather than borrowing the force of another.</w:t>
      </w:r>
    </w:p>
    <w:p>
      <w:pPr>
        <w:pStyle w:val="BodyText"/>
      </w:pPr>
      <w:r>
        <w:t xml:space="preserve">The resulting grammar is</w:t>
      </w:r>
      <w:r>
        <w:t xml:space="preserve"> </w:t>
      </w:r>
      <w:r>
        <w:t xml:space="preserve">“</w:t>
      </w:r>
      <w:r>
        <w:t xml:space="preserve">minimal</w:t>
      </w:r>
      <w:r>
        <w:t xml:space="preserve">”</w:t>
      </w:r>
      <w:r>
        <w:t xml:space="preserve"> </w:t>
      </w:r>
      <w:r>
        <w:t xml:space="preserve">within its stated language and assumptions. Combining many axioms into one enormous axiom would shorten the list without shortening the argument. Each retained premise must contribute something the others do not supply. Removing a premise and testing rival models therefore play a central role. If likeness disappears when causal adequacy is removed, causation was never enough to establish likeness. If noncomposition disappears when the principle connecting constitution to dependence is removed, underivation was never secretly simplicity. If freedom disappears while non-exhaustion remains, inexhaustibility was never secretly freedom.</w:t>
      </w:r>
    </w:p>
    <w:p>
      <w:pPr>
        <w:pStyle w:val="BodyText"/>
      </w:pPr>
      <w:r>
        <w:t xml:space="preserve">The historical tradition is used in the same disciplined way. Plato, Gregory of Nyssa, Augustine, Dionysius, Maximus, Eriugena, Anselm, Bonaventure, Aquinas, Scotus, Przywara, and others are not treated as teaching one identical hidden system. They offer overlapping solutions to recurring problems: participation without partition, likeness without identity, causal intimacy without constitution, transcendence without distance, manifestation without exhaustion, and dependence without rivalry. The constructive synthesis belongs to this project, even where its elements are deeply rooted in the tradition. Newman’s account of development is used only analogically, as a test of whether the synthesis preserves rather than reverses the tradition’s central achievements.</w:t>
      </w:r>
    </w:p>
    <w:p>
      <w:pPr>
        <w:pStyle w:val="BodyText"/>
      </w:pPr>
      <w:r>
        <w:t xml:space="preserve">As a Christian interpretation, the project preserves Creator–creature distinction, creation without divine material, divine sufficiency, real creaturely goodness, and real divine causality. Philosophy asks how these commitments can be articulated coherently and which arguments support them. Revelation supplies further determinations: ordinary participation in created being does not by itself establish grace, the Trinity, the Incarnation, or beatific communion.</w:t>
      </w:r>
    </w:p>
    <w:p>
      <w:pPr>
        <w:pStyle w:val="BodyText"/>
      </w:pPr>
      <w:r>
        <w:rPr>
          <w:b/>
          <w:bCs/>
        </w:rPr>
        <w:t xml:space="preserve">The methodological rule:</w:t>
      </w:r>
      <w:r>
        <w:t xml:space="preserve"> </w:t>
      </w:r>
      <w:r>
        <w:t xml:space="preserve">Keep the categories apart long enough to discover why they belong together.</w:t>
      </w:r>
    </w:p>
    <w:p>
      <w:pPr>
        <w:pStyle w:val="BodyText"/>
      </w:pPr>
      <w:r>
        <w:t xml:space="preserve">Given the stated source and causal principles, a finite being can genuinely possess received actuality and express its source according to its own mode, while the source remains undivided and uncompleted. Dependence explains the gift; it does not make the recipient’s life less real.</w:t>
      </w:r>
    </w:p>
    <w:p>
      <w:pPr>
        <w:pStyle w:val="BodyText"/>
      </w:pPr>
      <w:r>
        <w:rPr>
          <w:b/>
          <w:bCs/>
        </w:rPr>
        <w:t xml:space="preserve">The receiver’s measure measures the reception. It does not measure the source.</w:t>
      </w:r>
    </w:p>
    <w:bookmarkEnd w:id="148"/>
    <w:bookmarkStart w:id="149" w:name="the-next-open-question"/>
    <w:p>
      <w:pPr>
        <w:pStyle w:val="Heading4"/>
      </w:pPr>
      <w:r>
        <w:t xml:space="preserve">The next open question</w:t>
      </w:r>
    </w:p>
    <w:p>
      <w:pPr>
        <w:pStyle w:val="FirstParagraph"/>
      </w:pPr>
      <w:r>
        <w:t xml:space="preserve">The next question concerns divine agency: how can God freely and knowingly create this world rather than another without acquiring an intrinsic determination? This reconstruction already excludes proper intrinsic constituents, given an underived source and the principle that a whole depends on such constituents. It does not establish every stronger account of divine simplicity or explain free creative action. Further work must defend the relevant principles and explain how divine action has a determinate intention and how God knows it, without building freedom or knowledge into their definitions.</w:t>
      </w:r>
    </w:p>
    <w:p>
      <w:pPr>
        <w:pStyle w:val="BodyText"/>
      </w:pPr>
      <w:r>
        <w:t xml:space="preserve">A constructive proposal with conditional derivations and provisional historical verification; not a proof of global minimality or a definition of doctrine.</w:t>
      </w:r>
    </w:p>
    <w:p>
      <w:pPr>
        <w:pStyle w:val="BodyText"/>
      </w:pPr>
      <w:r>
        <w:rPr>
          <w:b/>
          <w:bCs/>
        </w:rPr>
        <w:t xml:space="preserve">How to read this page:</w:t>
      </w:r>
      <w:r>
        <w:t xml:space="preserve"> </w:t>
      </w:r>
      <w:r>
        <w:t xml:space="preserve">Begin with received possession and the positive meaning of finite measure. Then read the basis and derivations, and use the deletion lab to test each premise. The genealogy and source ledger distinguish historical resources from this project’s constructive proposals.</w:t>
      </w:r>
    </w:p>
    <w:bookmarkEnd w:id="149"/>
    <w:bookmarkEnd w:id="150"/>
    <w:bookmarkStart w:id="155" w:name="participation-as-real-possession"/>
    <w:p>
      <w:pPr>
        <w:pStyle w:val="Heading3"/>
      </w:pPr>
      <w:r>
        <w:t xml:space="preserve">Participation as real possession</w:t>
      </w:r>
    </w:p>
    <w:bookmarkStart w:id="151" w:name="Xa3e00fc19199bcce50dcca2843fc67b268668c2"/>
    <w:p>
      <w:pPr>
        <w:pStyle w:val="Heading4"/>
      </w:pPr>
      <w:r>
        <w:t xml:space="preserve">A received life is genuinely the creature’s life</w:t>
      </w:r>
    </w:p>
    <w:p>
      <w:pPr>
        <w:pStyle w:val="FirstParagraph"/>
      </w:pPr>
      <w:r>
        <w:t xml:space="preserve">Participation means real, dependent possession of received actuality or perfection according to the participant’s mode. Real possession matters as much as dependence: the creature actually lives, understands, and acts. What comes from a source is realized in the recipient; it is not merely a description of the source projected onto an otherwise empty appearance. Dependence concerns why the perfection obtains. Possession concerns where and how it obtains. These questions can have different answers without contradiction.</w:t>
      </w:r>
    </w:p>
    <w:p>
      <w:pPr>
        <w:pStyle w:val="BodyText"/>
      </w:pPr>
      <w:r>
        <w:t xml:space="preserve">Receiving a power does not yet amount to exercising it. To establish genuine creaturely action, add a further principle: some received powers are productive powers of the creature itself, whose exercise remains sustained by God. Divine causality and creaturely causality then explain one event in different respects. The creature’s dependence does not erase its authorship. An occasionalist rival denies this further principle, so real secondary agency must be defended rather than extracted from the word participation.</w:t>
      </w:r>
    </w:p>
    <w:bookmarkEnd w:id="151"/>
    <w:bookmarkStart w:id="152" w:name="X3b79179a33f2f61a6186aa4d4830b778f902a29"/>
    <w:p>
      <w:pPr>
        <w:pStyle w:val="Heading4"/>
      </w:pPr>
      <w:r>
        <w:t xml:space="preserve">Expression needs intelligible correspondence</w:t>
      </w:r>
    </w:p>
    <w:p>
      <w:pPr>
        <w:pStyle w:val="FirstParagraph"/>
      </w:pPr>
      <w:r>
        <w:t xml:space="preserve">An effect can disclose its source because the relation connects what is realized in the effect with something true of that source. Mere production does not establish every proposed attribution. A machine can print meaningful words without understanding them. An artisan can shape stone without being stone. An effect may therefore establish causal capacity while leaving intrinsic perfection, intention, or personal character undecided.</w:t>
      </w:r>
    </w:p>
    <w:p>
      <w:pPr>
        <w:pStyle w:val="BodyText"/>
      </w:pPr>
      <w:r>
        <w:t xml:space="preserve">The positive bridge proposed here is stronger: a genuine perfection in a derivative effect has an adequate ultimate source in which the corresponding positive content genuinely obtains, though not necessarily under the effect’s received mode. This is Q, the causal-adequacy principle. It requires an account of the positive content, not just the claim that the source can cause it. Exemplarism and the tradition of the logoi offer historical accounts of this source-related intelligibility. Their exact metaphysical commitments still require comparison.</w:t>
      </w:r>
    </w:p>
    <w:p>
      <w:pPr>
        <w:pStyle w:val="BodyText"/>
      </w:pPr>
      <w:r>
        <w:t xml:space="preserve">Under Q, participation can become objective expression even when nobody recognizes it. Recognition is another achievement: knowledge requires a truth-conducive relation and warranted uptake. Thus causal origin, expressive likeness, and warranted knowledge remain distinct. This lets the account affirm genuine manifestation while identifying exactly what a finite effect permits us to say.</w:t>
      </w:r>
    </w:p>
    <w:bookmarkEnd w:id="152"/>
    <w:bookmarkStart w:id="153" w:name="Xdfc8e9b12f2385346fd26d8ecefe382095e3b14"/>
    <w:p>
      <w:pPr>
        <w:pStyle w:val="Heading4"/>
      </w:pPr>
      <w:r>
        <w:t xml:space="preserve">Finite measure can help constitute a good</w:t>
      </w:r>
    </w:p>
    <w:p>
      <w:pPr>
        <w:pStyle w:val="FirstParagraph"/>
      </w:pPr>
      <w:r>
        <w:t xml:space="preserve">Finite reception does not exhaust an unlimited source. Yet finitude is not a single defect to be removed from every creaturely good. Three cases matter. A privation, such as ignorance, impedes an appropriate good. A constitutive finite condition helps make a particular good what it is: a melody needs succession, and a promise needs a history in which fidelity can be enacted. Removing distortion can improve the same melody; sounding every note at once abolishes it.</w:t>
      </w:r>
    </w:p>
    <w:p>
      <w:pPr>
        <w:pStyle w:val="BodyText"/>
      </w:pPr>
      <w:r>
        <w:t xml:space="preserve">An adverse occasion is different again. Courage can be good in danger, and forgiveness can be good after injury. The goodness of the response neither makes the threat or injury good nor justifies causing it. A theory of fulfillment must preserve the response’s positive actuality while refusing to manufacture a justification of evil from it.</w:t>
      </w:r>
    </w:p>
    <w:p>
      <w:pPr>
        <w:pStyle w:val="BodyText"/>
      </w:pPr>
      <w:r>
        <w:t xml:space="preserve">God can ground the positive reality of learning without learning, and the good of courage without undergoing danger. The entire finite description need not be transferred to its source. Likewise, finite knowledge need not be false or vague. A finite proposition can state something exactly true without reproducing the whole actuality of its object. The measure comparison in this model concerns finite reception of actuality; it is not a proof that every finite statement is inadequate.</w:t>
      </w:r>
    </w:p>
    <w:bookmarkEnd w:id="153"/>
    <w:bookmarkStart w:id="154" w:name="fulfillment-preserves-the-participant"/>
    <w:p>
      <w:pPr>
        <w:pStyle w:val="Heading4"/>
      </w:pPr>
      <w:r>
        <w:t xml:space="preserve">Fulfillment preserves the participant</w:t>
      </w:r>
    </w:p>
    <w:p>
      <w:pPr>
        <w:pStyle w:val="FirstParagraph"/>
      </w:pPr>
      <w:r>
        <w:t xml:space="preserve">Origin answers why a participant is; fulfillment asks what would perfect it. The second question requires an account of the subject’s good. Participation becomes ordered toward fulfillment when received powers can attain fitting ends, rather than merely continue to exist. Knowledge, fidelity, friendship, and love can then be real creaturely achievements. Their dependence on God does not relocate their history inside God or make them stages in divine self-completion.</w:t>
      </w:r>
    </w:p>
    <w:p>
      <w:pPr>
        <w:pStyle w:val="BodyText"/>
      </w:pPr>
      <w:r>
        <w:t xml:space="preserve">Communion adds more than resemblance or causal contact: distinct persons know and love one another. Its reality requires their difference to endure. The Christian account of grace and beatific vision therefore extends the natural grammar with revealed commitments. It promises God himself, not merely a created substitute, while preserving the creature’s finite act of reception. Finite measure need not mean distance, and immediacy need not mean exhaustive comprehension. Return is the participant’s fulfillment without absorption into its source.</w:t>
      </w:r>
    </w:p>
    <w:p>
      <w:pPr>
        <w:pStyle w:val="BodyText"/>
      </w:pPr>
      <w:r>
        <w:t xml:space="preserve">The five working engines are analytical jobs: determination and realization; dependence and origin; possibility and agency; manifestation and measure; goodness and fulfillment. They help audit the argument and are not the five primitive groups of the formal model. See the</w:t>
      </w:r>
      <w:r>
        <w:t xml:space="preserve"> </w:t>
      </w:r>
      <w:hyperlink r:id="rId32">
        <w:r>
          <w:rPr>
            <w:rStyle w:val="Hyperlink"/>
          </w:rPr>
          <w:t xml:space="preserve">shared reading guide</w:t>
        </w:r>
      </w:hyperlink>
      <w:r>
        <w:t xml:space="preserve">.</w:t>
      </w:r>
    </w:p>
    <w:bookmarkEnd w:id="154"/>
    <w:bookmarkEnd w:id="155"/>
    <w:bookmarkStart w:id="156" w:name="the-result"/>
    <w:p>
      <w:pPr>
        <w:pStyle w:val="Heading3"/>
      </w:pPr>
      <w:r>
        <w:t xml:space="preserve">The result</w:t>
      </w:r>
    </w:p>
    <w:p>
      <w:pPr>
        <w:pStyle w:val="FirstParagraph"/>
      </w:pPr>
      <w:r>
        <w:t xml:space="preserve">The proposed basis of actuality + received dependence + measure is insufficient. A dependence graph has no qualitative likeness or constitution information. Underivation does not imply infinity; non-exhaustion does not imply contingency. The source–creature distinction can instead be generated conditionally from sourced actuality and underivation, while nonpartition requires separate constitution bridges.</w:t>
      </w:r>
    </w:p>
    <w:p>
      <w:pPr>
        <w:pStyle w:val="BodyText"/>
      </w:pPr>
      <w:r>
        <w:t xml:space="preserve">The smallest</w:t>
      </w:r>
      <w:r>
        <w:t xml:space="preserve"> </w:t>
      </w:r>
      <w:r>
        <w:rPr>
          <w:i/>
          <w:iCs/>
        </w:rPr>
        <w:t xml:space="preserve">proposed</w:t>
      </w:r>
      <w:r>
        <w:t xml:space="preserve"> </w:t>
      </w:r>
      <w:r>
        <w:t xml:space="preserve">basis here is five information-bearing families and nine substantive clauses, relative to disclosed background semantics. Nine is not a count of every assumption. An absolute smallest list is not established: predicates can encode each other and axioms can be conjoined. The actual result is an irredundant reconstruction in a fixed language, with explicit extensions and countermodels.</w:t>
      </w:r>
    </w:p>
    <w:bookmarkEnd w:id="156"/>
    <w:bookmarkStart w:id="157" w:name="primitive-notions"/>
    <w:p>
      <w:pPr>
        <w:pStyle w:val="Heading3"/>
      </w:pPr>
      <w:r>
        <w:t xml:space="preserve">1. Primitive notions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Notation</w:t>
            </w:r>
          </w:p>
        </w:tc>
        <w:tc>
          <w:tcPr>
            <w:tcW w:type="dxa" w:w="3312"/>
            <w:shd w:fill="EAE5DA"/>
          </w:tcPr>
          <w:p>
            <w:pPr>
              <w:pStyle w:val="BodyText"/>
              <w:keepNext w:val="0"/>
              <w:spacing w:after="80" w:line="252" w:lineRule="auto"/>
              <w:jc w:val="left"/>
            </w:pPr>
            <w:r>
              <w:rPr>
                <w:rFonts w:ascii="Calibri" w:hAnsi="Calibri"/>
                <w:b/>
                <w:sz w:val="17"/>
              </w:rPr>
              <w:t xml:space="preserve">Information retained</w:t>
            </w:r>
          </w:p>
        </w:tc>
        <w:tc>
          <w:tcPr>
            <w:tcW w:type="dxa" w:w="3312"/>
            <w:shd w:fill="EAE5DA"/>
          </w:tcPr>
          <w:p>
            <w:pPr>
              <w:pStyle w:val="BodyText"/>
              <w:keepNext w:val="0"/>
              <w:spacing w:after="80" w:line="252" w:lineRule="auto"/>
              <w:jc w:val="left"/>
            </w:pPr>
            <w:r>
              <w:rPr>
                <w:rFonts w:ascii="Calibri" w:hAnsi="Calibri"/>
                <w:b/>
                <w:sz w:val="17"/>
              </w:rPr>
              <w:t xml:space="preserve">Interpretation</w:t>
            </w:r>
          </w:p>
        </w:tc>
      </w:tr>
      <w:tr>
        <w:tc>
          <w:tcPr>
            <w:tcW w:type="dxa" w:w="3312"/>
          </w:tcPr>
          <w:p>
            <w:pPr>
              <w:pStyle w:val="BodyText"/>
              <w:keepNext w:val="0"/>
              <w:spacing w:after="80" w:line="252" w:lineRule="auto"/>
              <w:jc w:val="left"/>
            </w:pPr>
            <w:r>
              <w:rPr>
                <w:rFonts w:ascii="Calibri" w:hAnsi="Calibri"/>
                <w:sz w:val="17"/>
              </w:rPr>
              <w:t xml:space="preserve">Cᵥ(y,x,q)</w:t>
            </w:r>
          </w:p>
        </w:tc>
        <w:tc>
          <w:tcPr>
            <w:tcW w:type="dxa" w:w="3312"/>
          </w:tcPr>
          <w:p>
            <w:pPr>
              <w:pStyle w:val="BodyText"/>
              <w:keepNext w:val="0"/>
              <w:spacing w:after="80" w:line="252" w:lineRule="auto"/>
              <w:jc w:val="left"/>
            </w:pPr>
            <w:r>
              <w:rPr>
                <w:rFonts w:ascii="Calibri" w:hAnsi="Calibri"/>
                <w:sz w:val="17"/>
              </w:rPr>
              <w:t xml:space="preserve">Productive causation</w:t>
            </w:r>
          </w:p>
        </w:tc>
        <w:tc>
          <w:tcPr>
            <w:tcW w:type="dxa" w:w="3312"/>
          </w:tcPr>
          <w:p>
            <w:pPr>
              <w:pStyle w:val="BodyText"/>
              <w:keepNext w:val="0"/>
              <w:spacing w:after="80" w:line="252" w:lineRule="auto"/>
              <w:jc w:val="left"/>
            </w:pPr>
            <w:r>
              <w:rPr>
                <w:rFonts w:ascii="Calibri" w:hAnsi="Calibri"/>
                <w:sz w:val="17"/>
              </w:rPr>
              <w:t xml:space="preserve">y produces or sustains a real perfection q in x. Causing something remains distinct from being a constituent of it.</w:t>
            </w:r>
          </w:p>
        </w:tc>
      </w:tr>
      <w:tr>
        <w:tc>
          <w:tcPr>
            <w:tcW w:type="dxa" w:w="3312"/>
          </w:tcPr>
          <w:p>
            <w:pPr>
              <w:pStyle w:val="BodyText"/>
              <w:keepNext w:val="0"/>
              <w:spacing w:after="80" w:line="252" w:lineRule="auto"/>
              <w:jc w:val="left"/>
            </w:pPr>
            <w:r>
              <w:rPr>
                <w:rFonts w:ascii="Calibri" w:hAnsi="Calibri"/>
                <w:sz w:val="17"/>
              </w:rPr>
              <w:t xml:space="preserve">Dᵥ(x,y,r)</w:t>
            </w:r>
          </w:p>
        </w:tc>
        <w:tc>
          <w:tcPr>
            <w:tcW w:type="dxa" w:w="3312"/>
          </w:tcPr>
          <w:p>
            <w:pPr>
              <w:pStyle w:val="BodyText"/>
              <w:keepNext w:val="0"/>
              <w:spacing w:after="80" w:line="252" w:lineRule="auto"/>
              <w:jc w:val="left"/>
            </w:pPr>
            <w:r>
              <w:rPr>
                <w:rFonts w:ascii="Calibri" w:hAnsi="Calibri"/>
                <w:sz w:val="17"/>
              </w:rPr>
              <w:t xml:space="preserve">Ontological dependence</w:t>
            </w:r>
          </w:p>
        </w:tc>
        <w:tc>
          <w:tcPr>
            <w:tcW w:type="dxa" w:w="3312"/>
          </w:tcPr>
          <w:p>
            <w:pPr>
              <w:pStyle w:val="BodyText"/>
              <w:keepNext w:val="0"/>
              <w:spacing w:after="80" w:line="252" w:lineRule="auto"/>
              <w:jc w:val="left"/>
            </w:pPr>
            <w:r>
              <w:rPr>
                <w:rFonts w:ascii="Calibri" w:hAnsi="Calibri"/>
                <w:sz w:val="17"/>
              </w:rPr>
              <w:t xml:space="preserve">x depends on y for its actuality in respect r. This concerns what sustains or explains x, rather than merely what would happen if y were absent.</w:t>
            </w:r>
          </w:p>
        </w:tc>
      </w:tr>
      <w:tr>
        <w:tc>
          <w:tcPr>
            <w:tcW w:type="dxa" w:w="3312"/>
          </w:tcPr>
          <w:p>
            <w:pPr>
              <w:pStyle w:val="BodyText"/>
              <w:keepNext w:val="0"/>
              <w:spacing w:after="80" w:line="252" w:lineRule="auto"/>
              <w:jc w:val="left"/>
            </w:pPr>
            <w:r>
              <w:rPr>
                <w:rFonts w:ascii="Calibri" w:hAnsi="Calibri"/>
                <w:sz w:val="17"/>
              </w:rPr>
              <w:t xml:space="preserve">Hᵥ(x,q,m)</w:t>
            </w:r>
          </w:p>
        </w:tc>
        <w:tc>
          <w:tcPr>
            <w:tcW w:type="dxa" w:w="3312"/>
          </w:tcPr>
          <w:p>
            <w:pPr>
              <w:pStyle w:val="BodyText"/>
              <w:keepNext w:val="0"/>
              <w:spacing w:after="80" w:line="252" w:lineRule="auto"/>
              <w:jc w:val="left"/>
            </w:pPr>
            <w:r>
              <w:rPr>
                <w:rFonts w:ascii="Calibri" w:hAnsi="Calibri"/>
                <w:sz w:val="17"/>
              </w:rPr>
              <w:t xml:space="preserve">Qualitative realization</w:t>
            </w:r>
          </w:p>
        </w:tc>
        <w:tc>
          <w:tcPr>
            <w:tcW w:type="dxa" w:w="3312"/>
          </w:tcPr>
          <w:p>
            <w:pPr>
              <w:pStyle w:val="BodyText"/>
              <w:keepNext w:val="0"/>
              <w:spacing w:after="80" w:line="252" w:lineRule="auto"/>
              <w:jc w:val="left"/>
            </w:pPr>
            <w:r>
              <w:rPr>
                <w:rFonts w:ascii="Calibri" w:hAnsi="Calibri"/>
                <w:sz w:val="17"/>
              </w:rPr>
              <w:t xml:space="preserve">x really possesses a candidate positive perfection-content q in mode m. Selecting that content requires independent warrant; a complete finite-kind description is not automatically a pure perfection. Corresponding content does not mean a shared entity or genus.</w:t>
            </w:r>
          </w:p>
        </w:tc>
      </w:tr>
      <w:tr>
        <w:tc>
          <w:tcPr>
            <w:tcW w:type="dxa" w:w="3312"/>
          </w:tcPr>
          <w:p>
            <w:pPr>
              <w:pStyle w:val="BodyText"/>
              <w:keepNext w:val="0"/>
              <w:spacing w:after="80" w:line="252" w:lineRule="auto"/>
              <w:jc w:val="left"/>
            </w:pPr>
            <w:r>
              <w:rPr>
                <w:rFonts w:ascii="Calibri" w:hAnsi="Calibri"/>
                <w:sz w:val="17"/>
              </w:rPr>
              <w:t xml:space="preserve">Kᵥ(z,x)</w:t>
            </w:r>
          </w:p>
        </w:tc>
        <w:tc>
          <w:tcPr>
            <w:tcW w:type="dxa" w:w="3312"/>
          </w:tcPr>
          <w:p>
            <w:pPr>
              <w:pStyle w:val="BodyText"/>
              <w:keepNext w:val="0"/>
              <w:spacing w:after="80" w:line="252" w:lineRule="auto"/>
              <w:jc w:val="left"/>
            </w:pPr>
            <w:r>
              <w:rPr>
                <w:rFonts w:ascii="Calibri" w:hAnsi="Calibri"/>
                <w:sz w:val="17"/>
              </w:rPr>
              <w:t xml:space="preserve">Intrinsic constituency</w:t>
            </w:r>
          </w:p>
        </w:tc>
        <w:tc>
          <w:tcPr>
            <w:tcW w:type="dxa" w:w="3312"/>
          </w:tcPr>
          <w:p>
            <w:pPr>
              <w:pStyle w:val="BodyText"/>
              <w:keepNext w:val="0"/>
              <w:spacing w:after="80" w:line="252" w:lineRule="auto"/>
              <w:jc w:val="left"/>
            </w:pPr>
            <w:r>
              <w:rPr>
                <w:rFonts w:ascii="Calibri" w:hAnsi="Calibri"/>
                <w:sz w:val="17"/>
              </w:rPr>
              <w:t xml:space="preserve">z is a proper part or constituting principle within x. This distinguishes what x consists of from what causes it.</w:t>
            </w:r>
          </w:p>
        </w:tc>
      </w:tr>
      <w:tr>
        <w:tc>
          <w:tcPr>
            <w:tcW w:type="dxa" w:w="3312"/>
          </w:tcPr>
          <w:p>
            <w:pPr>
              <w:pStyle w:val="BodyText"/>
              <w:keepNext w:val="0"/>
              <w:spacing w:after="80" w:line="252" w:lineRule="auto"/>
              <w:jc w:val="left"/>
            </w:pPr>
            <w:r>
              <w:rPr>
                <w:rFonts w:ascii="Calibri" w:hAnsi="Calibri"/>
                <w:sz w:val="17"/>
              </w:rPr>
              <w:t xml:space="preserve">Jᵥ(x)</w:t>
            </w:r>
          </w:p>
        </w:tc>
        <w:tc>
          <w:tcPr>
            <w:tcW w:type="dxa" w:w="3312"/>
          </w:tcPr>
          <w:p>
            <w:pPr>
              <w:pStyle w:val="BodyText"/>
              <w:keepNext w:val="0"/>
              <w:spacing w:after="80" w:line="252" w:lineRule="auto"/>
              <w:jc w:val="left"/>
            </w:pPr>
            <w:r>
              <w:rPr>
                <w:rFonts w:ascii="Calibri" w:hAnsi="Calibri"/>
                <w:sz w:val="17"/>
              </w:rPr>
              <w:t xml:space="preserve">Intrinsic actuality</w:t>
            </w:r>
          </w:p>
        </w:tc>
        <w:tc>
          <w:tcPr>
            <w:tcW w:type="dxa" w:w="3312"/>
          </w:tcPr>
          <w:p>
            <w:pPr>
              <w:pStyle w:val="BodyText"/>
              <w:keepNext w:val="0"/>
              <w:spacing w:after="80" w:line="252" w:lineRule="auto"/>
              <w:jc w:val="left"/>
            </w:pPr>
            <w:r>
              <w:rPr>
                <w:rFonts w:ascii="Calibri" w:hAnsi="Calibri"/>
                <w:sz w:val="17"/>
              </w:rPr>
              <w:t xml:space="preserve">What x is in itself in possible situation w. This lets us ask whether different effects require a change within their source.</w:t>
            </w:r>
          </w:p>
        </w:tc>
      </w:tr>
    </w:tbl>
    <w:p>
      <w:pPr>
        <w:pStyle w:val="BodyText"/>
      </w:pPr>
      <w:r>
        <w:t xml:space="preserve">Actuality is semantically primitive in real realization H, rather than an extra independently irreducible A. Define A(x) as ∃m H(x,e,m), where e indexes existential actuality. Define μₑ(x) as its complete mode. J records intrinsic facts not assumed exhausted by the selected H/K facts; if those were made exhaustive, J could be eliminated. Consequently five is a proposed operational vocabulary, not a demonstrated lower bound.</w:t>
      </w:r>
    </w:p>
    <w:p>
      <w:pPr>
        <w:pStyle w:val="BodyText"/>
      </w:pPr>
      <w:r>
        <w:t xml:space="preserve">Identity, typed quantification, world indexing, qualitative indices, and a mode order are also needed. C and D are factive; every H-bearer is actual; modes are functional per subject/respect; proper K is actual, irreflexive, and transitive. Bounded modes lie below ∞. These substantive background assumptions are disclosed. ∞ signifies no finite upper bound, not a quantity of divine substance.</w:t>
      </w:r>
    </w:p>
    <w:p>
      <w:pPr>
        <w:pStyle w:val="BodyText"/>
      </w:pPr>
      <w:r>
        <w:t xml:space="preserve">The system is conditional on actual source g and scopes entities to created beings/principles and their proposed source. It does not treat divine hypostases as extra created beings or adjudicate Trinity, incarnation, or grace. The system neither proves source existence nor derives its necessity.</w:t>
      </w:r>
    </w:p>
    <w:p>
      <w:pPr>
        <w:pStyle w:val="BodyText"/>
      </w:pPr>
      <w:r>
        <w:t xml:space="preserve">Qualitative q is a semantic index, not an independent Form. Its positive content must be independently warranted. A candidate criterion is that the content does not entail deficiency or a finite constitutive mode: knowing as opposed to acquiring information discursively, actuality as opposed to being-created. This criterion needs case-by-case argument;</w:t>
      </w:r>
      <w:r>
        <w:t xml:space="preserve"> </w:t>
      </w:r>
      <w:r>
        <w:t xml:space="preserve">“</w:t>
      </w:r>
      <w:r>
        <w:t xml:space="preserve">whatever God causes</w:t>
      </w:r>
      <w:r>
        <w:t xml:space="preserve">”</w:t>
      </w:r>
      <w:r>
        <w:t xml:space="preserve"> </w:t>
      </w:r>
      <w:r>
        <w:t xml:space="preserve">is not an admissible definition. Some finite conditions constitute genuine particular goods: succession belongs to melody, and a history belongs to keeping a promise. Q therefore concerns a defended positive perfection-content, not the wholesale transfer of every complete finite-kind description into God. Biological life and divine life cannot be equated by using one symbol. H-source interpretation must not mean merely</w:t>
      </w:r>
      <w:r>
        <w:t xml:space="preserve"> </w:t>
      </w:r>
      <w:r>
        <w:t xml:space="preserve">“</w:t>
      </w:r>
      <w:r>
        <w:t xml:space="preserve">able to cause H.</w:t>
      </w:r>
      <w:r>
        <w:t xml:space="preserve">”</w:t>
      </w:r>
    </w:p>
    <w:bookmarkEnd w:id="157"/>
    <w:bookmarkStart w:id="158" w:name="independent-clauses-and-bridges"/>
    <w:p>
      <w:pPr>
        <w:pStyle w:val="Heading3"/>
      </w:pPr>
      <w:r>
        <w:t xml:space="preserve">2. Independent clauses and bridges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Clause</w:t>
            </w:r>
          </w:p>
        </w:tc>
        <w:tc>
          <w:tcPr>
            <w:tcW w:type="dxa" w:w="3312"/>
            <w:shd w:fill="EAE5DA"/>
          </w:tcPr>
          <w:p>
            <w:pPr>
              <w:pStyle w:val="BodyText"/>
              <w:keepNext w:val="0"/>
              <w:spacing w:after="80" w:line="252" w:lineRule="auto"/>
              <w:jc w:val="left"/>
            </w:pPr>
            <w:r>
              <w:rPr>
                <w:rFonts w:ascii="Calibri" w:hAnsi="Calibri"/>
                <w:b/>
                <w:sz w:val="17"/>
              </w:rPr>
              <w:t xml:space="preserve">Statement</w:t>
            </w:r>
          </w:p>
        </w:tc>
        <w:tc>
          <w:tcPr>
            <w:tcW w:type="dxa" w:w="3312"/>
            <w:shd w:fill="EAE5DA"/>
          </w:tcPr>
          <w:p>
            <w:pPr>
              <w:pStyle w:val="BodyText"/>
              <w:keepNext w:val="0"/>
              <w:spacing w:after="80" w:line="252" w:lineRule="auto"/>
              <w:jc w:val="left"/>
            </w:pPr>
            <w:r>
              <w:rPr>
                <w:rFonts w:ascii="Calibri" w:hAnsi="Calibri"/>
                <w:b/>
                <w:sz w:val="17"/>
              </w:rPr>
              <w:t xml:space="preserve">Formal form</w:t>
            </w:r>
          </w:p>
        </w:tc>
      </w:tr>
      <w:tr>
        <w:tc>
          <w:tcPr>
            <w:tcW w:type="dxa" w:w="3312"/>
          </w:tcPr>
          <w:p>
            <w:pPr>
              <w:pStyle w:val="BodyText"/>
              <w:keepNext w:val="0"/>
              <w:spacing w:after="80" w:line="252" w:lineRule="auto"/>
              <w:jc w:val="left"/>
            </w:pPr>
            <w:r>
              <w:rPr>
                <w:rFonts w:ascii="Calibri" w:hAnsi="Calibri"/>
                <w:sz w:val="17"/>
              </w:rPr>
              <w:t xml:space="preserve">G — Universal sustaining causality</w:t>
            </w:r>
          </w:p>
        </w:tc>
        <w:tc>
          <w:tcPr>
            <w:tcW w:type="dxa" w:w="3312"/>
          </w:tcPr>
          <w:p>
            <w:pPr>
              <w:pStyle w:val="BodyText"/>
              <w:keepNext w:val="0"/>
              <w:spacing w:after="80" w:line="252" w:lineRule="auto"/>
              <w:jc w:val="left"/>
            </w:pPr>
            <w:r>
              <w:rPr>
                <w:rFonts w:ascii="Calibri" w:hAnsi="Calibri"/>
                <w:sz w:val="17"/>
              </w:rPr>
              <w:t xml:space="preserve">The designated source g presently causes or sustains every other actual being and its positive perfections. This includes sustaining each creature’s existence.</w:t>
            </w:r>
          </w:p>
        </w:tc>
        <w:tc>
          <w:tcPr>
            <w:tcW w:type="dxa" w:w="3312"/>
          </w:tcPr>
          <w:p>
            <w:pPr>
              <w:pStyle w:val="BodyText"/>
              <w:keepNext w:val="0"/>
              <w:spacing w:after="80" w:line="252" w:lineRule="auto"/>
              <w:jc w:val="left"/>
            </w:pPr>
            <w:r>
              <w:rPr>
                <w:rFonts w:ascii="Calibri" w:hAnsi="Calibri"/>
                <w:sz w:val="17"/>
              </w:rPr>
              <w:t xml:space="preserve">A(x) ∧ x ≠ g ∧ H(x,q,m) ⇒ C(g,x,q)</w:t>
            </w:r>
          </w:p>
        </w:tc>
      </w:tr>
      <w:tr>
        <w:tc>
          <w:tcPr>
            <w:tcW w:type="dxa" w:w="3312"/>
          </w:tcPr>
          <w:p>
            <w:pPr>
              <w:pStyle w:val="BodyText"/>
              <w:keepNext w:val="0"/>
              <w:spacing w:after="80" w:line="252" w:lineRule="auto"/>
              <w:jc w:val="left"/>
            </w:pPr>
            <w:r>
              <w:rPr>
                <w:rFonts w:ascii="Calibri" w:hAnsi="Calibri"/>
                <w:sz w:val="17"/>
              </w:rPr>
              <w:t xml:space="preserve">CP — Causal dependence</w:t>
            </w:r>
          </w:p>
        </w:tc>
        <w:tc>
          <w:tcPr>
            <w:tcW w:type="dxa" w:w="3312"/>
          </w:tcPr>
          <w:p>
            <w:pPr>
              <w:pStyle w:val="BodyText"/>
              <w:keepNext w:val="0"/>
              <w:spacing w:after="80" w:line="252" w:lineRule="auto"/>
              <w:jc w:val="left"/>
            </w:pPr>
            <w:r>
              <w:rPr>
                <w:rFonts w:ascii="Calibri" w:hAnsi="Calibri"/>
                <w:sz w:val="17"/>
              </w:rPr>
              <w:t xml:space="preserve">Productive or sustaining causation grounds an effect’s actuality in the relevant respect. This bridge is not silently packed into the word</w:t>
            </w:r>
            <w:r>
              <w:rPr>
                <w:rFonts w:ascii="Calibri" w:hAnsi="Calibri"/>
                <w:sz w:val="17"/>
              </w:rPr>
              <w:t xml:space="preserve"> </w:t>
            </w:r>
            <w:r>
              <w:rPr>
                <w:rFonts w:ascii="Calibri" w:hAnsi="Calibri"/>
                <w:sz w:val="17"/>
              </w:rPr>
              <w:t xml:space="preserve">“</w:t>
            </w:r>
            <w:r>
              <w:rPr>
                <w:rFonts w:ascii="Calibri" w:hAnsi="Calibri"/>
                <w:sz w:val="17"/>
              </w:rPr>
              <w:t xml:space="preserve">cause.</w:t>
            </w:r>
            <w:r>
              <w:rPr>
                <w:rFonts w:ascii="Calibri" w:hAnsi="Calibri"/>
                <w:sz w:val="17"/>
              </w:rPr>
              <w:t xml:space="preserve">”</w:t>
            </w:r>
          </w:p>
        </w:tc>
        <w:tc>
          <w:tcPr>
            <w:tcW w:type="dxa" w:w="3312"/>
          </w:tcPr>
          <w:p>
            <w:pPr>
              <w:pStyle w:val="BodyText"/>
              <w:keepNext w:val="0"/>
              <w:spacing w:after="80" w:line="252" w:lineRule="auto"/>
              <w:jc w:val="left"/>
            </w:pPr>
            <w:r>
              <w:rPr>
                <w:rFonts w:ascii="Calibri" w:hAnsi="Calibri"/>
                <w:sz w:val="17"/>
              </w:rPr>
              <w:t xml:space="preserve">C(y,x,q) ⇒ D(x,y,q)</w:t>
            </w:r>
          </w:p>
        </w:tc>
      </w:tr>
      <w:tr>
        <w:tc>
          <w:tcPr>
            <w:tcW w:type="dxa" w:w="3312"/>
          </w:tcPr>
          <w:p>
            <w:pPr>
              <w:pStyle w:val="BodyText"/>
              <w:keepNext w:val="0"/>
              <w:spacing w:after="80" w:line="252" w:lineRule="auto"/>
              <w:jc w:val="left"/>
            </w:pPr>
            <w:r>
              <w:rPr>
                <w:rFonts w:ascii="Calibri" w:hAnsi="Calibri"/>
                <w:sz w:val="17"/>
              </w:rPr>
              <w:t xml:space="preserve">U — The source depends on nothing</w:t>
            </w:r>
          </w:p>
        </w:tc>
        <w:tc>
          <w:tcPr>
            <w:tcW w:type="dxa" w:w="3312"/>
          </w:tcPr>
          <w:p>
            <w:pPr>
              <w:pStyle w:val="BodyText"/>
              <w:keepNext w:val="0"/>
              <w:spacing w:after="80" w:line="252" w:lineRule="auto"/>
              <w:jc w:val="left"/>
            </w:pPr>
            <w:r>
              <w:rPr>
                <w:rFonts w:ascii="Calibri" w:hAnsi="Calibri"/>
                <w:sz w:val="17"/>
              </w:rPr>
              <w:t xml:space="preserve">The designated source receives none of the actuality or perfection by which it is actual. This does not by itself say that it is infinite, simple, or existent.</w:t>
            </w:r>
          </w:p>
        </w:tc>
        <w:tc>
          <w:tcPr>
            <w:tcW w:type="dxa" w:w="3312"/>
          </w:tcPr>
          <w:p>
            <w:pPr>
              <w:pStyle w:val="BodyText"/>
              <w:keepNext w:val="0"/>
              <w:spacing w:after="80" w:line="252" w:lineRule="auto"/>
              <w:jc w:val="left"/>
            </w:pPr>
            <w:r>
              <w:rPr>
                <w:rFonts w:ascii="Calibri" w:hAnsi="Calibri"/>
                <w:sz w:val="17"/>
              </w:rPr>
              <w:t xml:space="preserve">¬∃y,r D(g,y,r)</w:t>
            </w:r>
          </w:p>
        </w:tc>
      </w:tr>
      <w:tr>
        <w:tc>
          <w:tcPr>
            <w:tcW w:type="dxa" w:w="3312"/>
          </w:tcPr>
          <w:p>
            <w:pPr>
              <w:pStyle w:val="BodyText"/>
              <w:keepNext w:val="0"/>
              <w:spacing w:after="80" w:line="252" w:lineRule="auto"/>
              <w:jc w:val="left"/>
            </w:pPr>
            <w:r>
              <w:rPr>
                <w:rFonts w:ascii="Calibri" w:hAnsi="Calibri"/>
                <w:sz w:val="17"/>
              </w:rPr>
              <w:t xml:space="preserve">Q — Causal adequacy of the ultimate source</w:t>
            </w:r>
          </w:p>
        </w:tc>
        <w:tc>
          <w:tcPr>
            <w:tcW w:type="dxa" w:w="3312"/>
          </w:tcPr>
          <w:p>
            <w:pPr>
              <w:pStyle w:val="BodyText"/>
              <w:keepNext w:val="0"/>
              <w:spacing w:after="80" w:line="252" w:lineRule="auto"/>
              <w:jc w:val="left"/>
            </w:pPr>
            <w:r>
              <w:rPr>
                <w:rFonts w:ascii="Calibri" w:hAnsi="Calibri"/>
                <w:sz w:val="17"/>
              </w:rPr>
              <w:t xml:space="preserve">An independently identified positive perfection-content caused by the ultimate source has corresponding content in that source, under a potentially different mode. Both the selection of q and this possession bridge need argument. A complete finite-kind description is not transferred wholesale: causing learning does not imply learning. The principle does not apply to every instrumental cause, and must mean more than</w:t>
            </w:r>
            <w:r>
              <w:rPr>
                <w:rFonts w:ascii="Calibri" w:hAnsi="Calibri"/>
                <w:sz w:val="17"/>
              </w:rPr>
              <w:t xml:space="preserve"> </w:t>
            </w:r>
            <w:r>
              <w:rPr>
                <w:rFonts w:ascii="Calibri" w:hAnsi="Calibri"/>
                <w:sz w:val="17"/>
              </w:rPr>
              <w:t xml:space="preserve">“</w:t>
            </w:r>
            <w:r>
              <w:rPr>
                <w:rFonts w:ascii="Calibri" w:hAnsi="Calibri"/>
                <w:sz w:val="17"/>
              </w:rPr>
              <w:t xml:space="preserve">can cause q.</w:t>
            </w:r>
            <w:r>
              <w:rPr>
                <w:rFonts w:ascii="Calibri" w:hAnsi="Calibri"/>
                <w:sz w:val="17"/>
              </w:rPr>
              <w:t xml:space="preserve">”</w:t>
            </w:r>
          </w:p>
        </w:tc>
        <w:tc>
          <w:tcPr>
            <w:tcW w:type="dxa" w:w="3312"/>
          </w:tcPr>
          <w:p>
            <w:pPr>
              <w:pStyle w:val="BodyText"/>
              <w:keepNext w:val="0"/>
              <w:spacing w:after="80" w:line="252" w:lineRule="auto"/>
              <w:jc w:val="left"/>
            </w:pPr>
            <w:r>
              <w:rPr>
                <w:rFonts w:ascii="Calibri" w:hAnsi="Calibri"/>
                <w:sz w:val="17"/>
              </w:rPr>
              <w:t xml:space="preserve">C(g,x,q) ∧ H(x,q,m) ⇒ ∃n H(g,q,n)</w:t>
            </w:r>
          </w:p>
        </w:tc>
      </w:tr>
      <w:tr>
        <w:tc>
          <w:tcPr>
            <w:tcW w:type="dxa" w:w="3312"/>
          </w:tcPr>
          <w:p>
            <w:pPr>
              <w:pStyle w:val="BodyText"/>
              <w:keepNext w:val="0"/>
              <w:spacing w:after="80" w:line="252" w:lineRule="auto"/>
              <w:jc w:val="left"/>
            </w:pPr>
            <w:r>
              <w:rPr>
                <w:rFonts w:ascii="Calibri" w:hAnsi="Calibri"/>
                <w:sz w:val="17"/>
              </w:rPr>
              <w:t xml:space="preserve">KD — Composition entails dependence</w:t>
            </w:r>
          </w:p>
        </w:tc>
        <w:tc>
          <w:tcPr>
            <w:tcW w:type="dxa" w:w="3312"/>
          </w:tcPr>
          <w:p>
            <w:pPr>
              <w:pStyle w:val="BodyText"/>
              <w:keepNext w:val="0"/>
              <w:spacing w:after="80" w:line="252" w:lineRule="auto"/>
              <w:jc w:val="left"/>
            </w:pPr>
            <w:r>
              <w:rPr>
                <w:rFonts w:ascii="Calibri" w:hAnsi="Calibri"/>
                <w:sz w:val="17"/>
              </w:rPr>
              <w:t xml:space="preserve">A composite’s actuality depends upon its proper intrinsic constituents. Underivation plus this principle excludes composition of the source.</w:t>
            </w:r>
          </w:p>
        </w:tc>
        <w:tc>
          <w:tcPr>
            <w:tcW w:type="dxa" w:w="3312"/>
          </w:tcPr>
          <w:p>
            <w:pPr>
              <w:pStyle w:val="BodyText"/>
              <w:keepNext w:val="0"/>
              <w:spacing w:after="80" w:line="252" w:lineRule="auto"/>
              <w:jc w:val="left"/>
            </w:pPr>
            <w:r>
              <w:rPr>
                <w:rFonts w:ascii="Calibri" w:hAnsi="Calibri"/>
                <w:sz w:val="17"/>
              </w:rPr>
              <w:t xml:space="preserve">K(z,x) ⇒ D(x,z,e)</w:t>
            </w:r>
          </w:p>
        </w:tc>
      </w:tr>
      <w:tr>
        <w:tc>
          <w:tcPr>
            <w:tcW w:type="dxa" w:w="3312"/>
          </w:tcPr>
          <w:p>
            <w:pPr>
              <w:pStyle w:val="BodyText"/>
              <w:keepNext w:val="0"/>
              <w:spacing w:after="80" w:line="252" w:lineRule="auto"/>
              <w:jc w:val="left"/>
            </w:pPr>
            <w:r>
              <w:rPr>
                <w:rFonts w:ascii="Calibri" w:hAnsi="Calibri"/>
                <w:sz w:val="17"/>
              </w:rPr>
              <w:t xml:space="preserve">KH — Constituents do not exceed the whole</w:t>
            </w:r>
          </w:p>
        </w:tc>
        <w:tc>
          <w:tcPr>
            <w:tcW w:type="dxa" w:w="3312"/>
          </w:tcPr>
          <w:p>
            <w:pPr>
              <w:pStyle w:val="BodyText"/>
              <w:keepNext w:val="0"/>
              <w:spacing w:after="80" w:line="252" w:lineRule="auto"/>
              <w:jc w:val="left"/>
            </w:pPr>
            <w:r>
              <w:rPr>
                <w:rFonts w:ascii="Calibri" w:hAnsi="Calibri"/>
                <w:sz w:val="17"/>
              </w:rPr>
              <w:t xml:space="preserve">An intrinsic constituent cannot exceed the whole containing it in the relevant capacity for actuality. This goes beyond a theory of parts and wholes and must be defended independently.</w:t>
            </w:r>
          </w:p>
        </w:tc>
        <w:tc>
          <w:tcPr>
            <w:tcW w:type="dxa" w:w="3312"/>
          </w:tcPr>
          <w:p>
            <w:pPr>
              <w:pStyle w:val="BodyText"/>
              <w:keepNext w:val="0"/>
              <w:spacing w:after="80" w:line="252" w:lineRule="auto"/>
              <w:jc w:val="left"/>
            </w:pPr>
            <w:r>
              <w:rPr>
                <w:rFonts w:ascii="Calibri" w:hAnsi="Calibri"/>
                <w:sz w:val="17"/>
              </w:rPr>
              <w:t xml:space="preserve">K(z,x) ⇒ μₑ(z) ≤ μₑ(x)</w:t>
            </w:r>
          </w:p>
        </w:tc>
      </w:tr>
      <w:tr>
        <w:tc>
          <w:tcPr>
            <w:tcW w:type="dxa" w:w="3312"/>
          </w:tcPr>
          <w:p>
            <w:pPr>
              <w:pStyle w:val="BodyText"/>
              <w:keepNext w:val="0"/>
              <w:spacing w:after="80" w:line="252" w:lineRule="auto"/>
              <w:jc w:val="left"/>
            </w:pPr>
            <w:r>
              <w:rPr>
                <w:rFonts w:ascii="Calibri" w:hAnsi="Calibri"/>
                <w:sz w:val="17"/>
              </w:rPr>
              <w:t xml:space="preserve">FS — Unbounded source actuality</w:t>
            </w:r>
          </w:p>
        </w:tc>
        <w:tc>
          <w:tcPr>
            <w:tcW w:type="dxa" w:w="3312"/>
          </w:tcPr>
          <w:p>
            <w:pPr>
              <w:pStyle w:val="BodyText"/>
              <w:keepNext w:val="0"/>
              <w:spacing w:after="80" w:line="252" w:lineRule="auto"/>
              <w:jc w:val="left"/>
            </w:pPr>
            <w:r>
              <w:rPr>
                <w:rFonts w:ascii="Calibri" w:hAnsi="Calibri"/>
                <w:sz w:val="17"/>
              </w:rPr>
              <w:t xml:space="preserve">The source is unlimited in actuality. Underivation does not prove this. Unlimitedness in another perfection requires its own argument; adequacy alone supplies corresponding content, not an infinite degree.</w:t>
            </w:r>
          </w:p>
        </w:tc>
        <w:tc>
          <w:tcPr>
            <w:tcW w:type="dxa" w:w="3312"/>
          </w:tcPr>
          <w:p>
            <w:pPr>
              <w:pStyle w:val="BodyText"/>
              <w:keepNext w:val="0"/>
              <w:spacing w:after="80" w:line="252" w:lineRule="auto"/>
              <w:jc w:val="left"/>
            </w:pPr>
            <w:r>
              <w:rPr>
                <w:rFonts w:ascii="Calibri" w:hAnsi="Calibri"/>
                <w:sz w:val="17"/>
              </w:rPr>
              <w:t xml:space="preserve">μₑ(g) = ∞</w:t>
            </w:r>
          </w:p>
        </w:tc>
      </w:tr>
      <w:tr>
        <w:tc>
          <w:tcPr>
            <w:tcW w:type="dxa" w:w="3312"/>
          </w:tcPr>
          <w:p>
            <w:pPr>
              <w:pStyle w:val="BodyText"/>
              <w:keepNext w:val="0"/>
              <w:spacing w:after="80" w:line="252" w:lineRule="auto"/>
              <w:jc w:val="left"/>
            </w:pPr>
            <w:r>
              <w:rPr>
                <w:rFonts w:ascii="Calibri" w:hAnsi="Calibri"/>
                <w:sz w:val="17"/>
              </w:rPr>
              <w:t xml:space="preserve">FC — Bounded created actuality</w:t>
            </w:r>
          </w:p>
        </w:tc>
        <w:tc>
          <w:tcPr>
            <w:tcW w:type="dxa" w:w="3312"/>
          </w:tcPr>
          <w:p>
            <w:pPr>
              <w:pStyle w:val="BodyText"/>
              <w:keepNext w:val="0"/>
              <w:spacing w:after="80" w:line="252" w:lineRule="auto"/>
              <w:jc w:val="left"/>
            </w:pPr>
            <w:r>
              <w:rPr>
                <w:rFonts w:ascii="Calibri" w:hAnsi="Calibri"/>
                <w:sz w:val="17"/>
              </w:rPr>
              <w:t xml:space="preserve">Every actual other has a bounded mode of actuality. This is not a restriction on the source.</w:t>
            </w:r>
            <w:r>
              <w:rPr>
                <w:rFonts w:ascii="Calibri" w:hAnsi="Calibri"/>
                <w:sz w:val="17"/>
              </w:rPr>
              <w:t xml:space="preserve"> </w:t>
            </w:r>
            <w:r>
              <w:rPr>
                <w:rFonts w:ascii="Calibri" w:hAnsi="Calibri"/>
                <w:sz w:val="17"/>
              </w:rPr>
              <w:t xml:space="preserve">“</w:t>
            </w:r>
            <w:r>
              <w:rPr>
                <w:rFonts w:ascii="Calibri" w:hAnsi="Calibri"/>
                <w:sz w:val="17"/>
              </w:rPr>
              <w:t xml:space="preserve">Bounded</w:t>
            </w:r>
            <w:r>
              <w:rPr>
                <w:rFonts w:ascii="Calibri" w:hAnsi="Calibri"/>
                <w:sz w:val="17"/>
              </w:rPr>
              <w:t xml:space="preserve">”</w:t>
            </w:r>
            <w:r>
              <w:rPr>
                <w:rFonts w:ascii="Calibri" w:hAnsi="Calibri"/>
                <w:sz w:val="17"/>
              </w:rPr>
              <w:t xml:space="preserve"> </w:t>
            </w:r>
            <w:r>
              <w:rPr>
                <w:rFonts w:ascii="Calibri" w:hAnsi="Calibri"/>
                <w:sz w:val="17"/>
              </w:rPr>
              <w:t xml:space="preserve">is not a reduction of all perfections to a numerical quantity.</w:t>
            </w:r>
          </w:p>
        </w:tc>
        <w:tc>
          <w:tcPr>
            <w:tcW w:type="dxa" w:w="3312"/>
          </w:tcPr>
          <w:p>
            <w:pPr>
              <w:pStyle w:val="BodyText"/>
              <w:keepNext w:val="0"/>
              <w:spacing w:after="80" w:line="252" w:lineRule="auto"/>
              <w:jc w:val="left"/>
            </w:pPr>
            <w:r>
              <w:rPr>
                <w:rFonts w:ascii="Calibri" w:hAnsi="Calibri"/>
                <w:sz w:val="17"/>
              </w:rPr>
              <w:t xml:space="preserve">A(x) ∧ x ≠ g ⇒ μₑ(x) &lt; ∞</w:t>
            </w:r>
          </w:p>
        </w:tc>
      </w:tr>
      <w:tr>
        <w:tc>
          <w:tcPr>
            <w:tcW w:type="dxa" w:w="3312"/>
          </w:tcPr>
          <w:p>
            <w:pPr>
              <w:pStyle w:val="BodyText"/>
              <w:keepNext w:val="0"/>
              <w:spacing w:after="80" w:line="252" w:lineRule="auto"/>
              <w:jc w:val="left"/>
            </w:pPr>
            <w:r>
              <w:rPr>
                <w:rFonts w:ascii="Calibri" w:hAnsi="Calibri"/>
                <w:sz w:val="17"/>
              </w:rPr>
              <w:t xml:space="preserve">X — Unchanged source across creation alternatives</w:t>
            </w:r>
          </w:p>
        </w:tc>
        <w:tc>
          <w:tcPr>
            <w:tcW w:type="dxa" w:w="3312"/>
          </w:tcPr>
          <w:p>
            <w:pPr>
              <w:pStyle w:val="BodyText"/>
              <w:keepNext w:val="0"/>
              <w:spacing w:after="80" w:line="252" w:lineRule="auto"/>
              <w:jc w:val="left"/>
            </w:pPr>
            <w:r>
              <w:rPr>
                <w:rFonts w:ascii="Calibri" w:hAnsi="Calibri"/>
                <w:sz w:val="17"/>
              </w:rPr>
              <w:t xml:space="preserve">Differences in created effects do not constitute differences or gains in the source’s intrinsic actuality. Underivation at each world does not alone prove this comparison across worlds.</w:t>
            </w:r>
          </w:p>
        </w:tc>
        <w:tc>
          <w:tcPr>
            <w:tcW w:type="dxa" w:w="3312"/>
          </w:tcPr>
          <w:p>
            <w:pPr>
              <w:pStyle w:val="BodyText"/>
              <w:keepNext w:val="0"/>
              <w:spacing w:after="80" w:line="252" w:lineRule="auto"/>
              <w:jc w:val="left"/>
            </w:pPr>
            <w:r>
              <w:rPr>
                <w:rFonts w:ascii="Calibri" w:hAnsi="Calibri"/>
                <w:sz w:val="17"/>
              </w:rPr>
              <w:t xml:space="preserve">Jᵥ(g) = Jᵥ′(g) for admissible creation alternatives</w:t>
            </w:r>
          </w:p>
        </w:tc>
      </w:tr>
    </w:tbl>
    <w:p>
      <w:pPr>
        <w:pStyle w:val="BodyText"/>
      </w:pPr>
      <w:r>
        <w:t xml:space="preserve">G, U, FS, and FC are a conditional source profile, not consequences of generic participation. CP, Q, KD, and KH bridge independently interpreted categories. X compares intrinsic actuality across different possible created outcomes. Q is restricted to the ultimate source; an instrument need not exhibit every quality of what it helps produce. FS/FC concern actuality e; any perfection-specific non-exhaustion theorem requires corresponding assumptions in that same q.</w:t>
      </w:r>
    </w:p>
    <w:p>
      <w:pPr>
        <w:pStyle w:val="BodyText"/>
      </w:pPr>
      <w:r>
        <w:t xml:space="preserve">Global asymmetry was deleted: source-directed dependence is already asymmetric under CP + U. It would overconstrain unrelated creaturely relationships without contributing to this target.</w:t>
      </w:r>
    </w:p>
    <w:bookmarkEnd w:id="158"/>
    <w:bookmarkStart w:id="159" w:name="nonprimitive-terms"/>
    <w:p>
      <w:pPr>
        <w:pStyle w:val="Heading3"/>
      </w:pPr>
      <w:r>
        <w:t xml:space="preserve">3. Nonprimitive terms</w:t>
      </w:r>
    </w:p>
    <w:p>
      <w:pPr>
        <w:pStyle w:val="Compact"/>
        <w:numPr>
          <w:ilvl w:val="0"/>
          <w:numId w:val="1001"/>
        </w:numPr>
      </w:pPr>
      <w:r>
        <w:rPr>
          <w:b/>
          <w:bCs/>
        </w:rPr>
        <w:t xml:space="preserve">Reception:</w:t>
      </w:r>
      <w:r>
        <w:t xml:space="preserve"> </w:t>
      </w:r>
      <w:r>
        <w:t xml:space="preserve">Rec(x,q,g) := C(g,x,q) ∧ ∃m H(x,q,m). No likeness, finitude, or nonpartition is stipulated.</w:t>
      </w:r>
    </w:p>
    <w:p>
      <w:pPr>
        <w:pStyle w:val="Compact"/>
        <w:numPr>
          <w:ilvl w:val="0"/>
          <w:numId w:val="1001"/>
        </w:numPr>
      </w:pPr>
      <w:r>
        <w:rPr>
          <w:b/>
          <w:bCs/>
        </w:rPr>
        <w:t xml:space="preserve">Participation:</w:t>
      </w:r>
      <w:r>
        <w:t xml:space="preserve"> </w:t>
      </w:r>
      <w:r>
        <w:t xml:space="preserve">P(x,g,q) := Rec(x,q,g) ∧ D(x,g,q). CP generates the dependency from causal realization.</w:t>
      </w:r>
    </w:p>
    <w:p>
      <w:pPr>
        <w:pStyle w:val="Compact"/>
        <w:numPr>
          <w:ilvl w:val="0"/>
          <w:numId w:val="1001"/>
        </w:numPr>
      </w:pPr>
      <w:r>
        <w:rPr>
          <w:b/>
          <w:bCs/>
        </w:rPr>
        <w:t xml:space="preserve">Likeness:</w:t>
      </w:r>
      <w:r>
        <w:t xml:space="preserve"> </w:t>
      </w:r>
      <w:r>
        <w:t xml:space="preserve">L(x,g,q) := ∃m,n [H(x,q,m) ∧ H(g,q,n)]. Shared qualitative content does not include a common natural genus, identical modes, or numerical identity.</w:t>
      </w:r>
    </w:p>
    <w:p>
      <w:pPr>
        <w:pStyle w:val="Compact"/>
        <w:numPr>
          <w:ilvl w:val="0"/>
          <w:numId w:val="1001"/>
        </w:numPr>
      </w:pPr>
      <w:r>
        <w:rPr>
          <w:b/>
          <w:bCs/>
        </w:rPr>
        <w:t xml:space="preserve">Expression:</w:t>
      </w:r>
      <w:r>
        <w:t xml:space="preserve"> </w:t>
      </w:r>
      <w:r>
        <w:t xml:space="preserve">E := P ∧ L. This is a real expression of the source; it does not guarantee that someone recognizes it.</w:t>
      </w:r>
    </w:p>
    <w:p>
      <w:pPr>
        <w:pStyle w:val="Compact"/>
        <w:numPr>
          <w:ilvl w:val="0"/>
          <w:numId w:val="1001"/>
        </w:numPr>
      </w:pPr>
      <w:r>
        <w:rPr>
          <w:b/>
          <w:bCs/>
        </w:rPr>
        <w:t xml:space="preserve">Underived source:</w:t>
      </w:r>
      <w:r>
        <w:t xml:space="preserve"> </w:t>
      </w:r>
      <w:r>
        <w:t xml:space="preserve">U(y) := ¬∃z,r D(y,z,r). It contains neither infinity nor simplicity.</w:t>
      </w:r>
    </w:p>
    <w:p>
      <w:pPr>
        <w:pStyle w:val="Compact"/>
        <w:numPr>
          <w:ilvl w:val="0"/>
          <w:numId w:val="1001"/>
        </w:numPr>
      </w:pPr>
      <w:r>
        <w:rPr>
          <w:b/>
          <w:bCs/>
        </w:rPr>
        <w:t xml:space="preserve">Noncomposite in this model:</w:t>
      </w:r>
      <w:r>
        <w:t xml:space="preserve"> </w:t>
      </w:r>
      <w:r>
        <w:t xml:space="preserve">¬∃z K(z,y). This excludes proper intrinsic constituents. It is narrower than the full classical doctrine of divine simplicity and does not exclude every disputed real distinction, formality, or energy.</w:t>
      </w:r>
    </w:p>
    <w:p>
      <w:pPr>
        <w:pStyle w:val="Compact"/>
        <w:numPr>
          <w:ilvl w:val="0"/>
          <w:numId w:val="1001"/>
        </w:numPr>
      </w:pPr>
      <w:r>
        <w:rPr>
          <w:b/>
          <w:bCs/>
        </w:rPr>
        <w:t xml:space="preserve">Communication:</w:t>
      </w:r>
      <w:r>
        <w:t xml:space="preserve"> </w:t>
      </w:r>
      <w:r>
        <w:t xml:space="preserve">productive real realization in another; nondivision is a theorem under the constitution bridges, not its definition.</w:t>
      </w:r>
    </w:p>
    <w:p>
      <w:pPr>
        <w:pStyle w:val="Compact"/>
        <w:numPr>
          <w:ilvl w:val="0"/>
          <w:numId w:val="1001"/>
        </w:numPr>
      </w:pPr>
      <w:r>
        <w:rPr>
          <w:b/>
          <w:bCs/>
        </w:rPr>
        <w:t xml:space="preserve">Non-exhaustion:</w:t>
      </w:r>
      <w:r>
        <w:t xml:space="preserve"> </w:t>
      </w:r>
      <w:r>
        <w:t xml:space="preserve">μₑ(x) &lt; μₑ(g). This is failure to match source actuality-capacity, not a proof that every finite sentence, symbol, or infinite aggregate inadequately represents every aspect of its source.</w:t>
      </w:r>
    </w:p>
    <w:p>
      <w:pPr>
        <w:pStyle w:val="Compact"/>
        <w:numPr>
          <w:ilvl w:val="0"/>
          <w:numId w:val="1001"/>
        </w:numPr>
      </w:pPr>
      <w:r>
        <w:rPr>
          <w:b/>
          <w:bCs/>
        </w:rPr>
        <w:t xml:space="preserve">Causal intimacy:</w:t>
      </w:r>
      <w:r>
        <w:t xml:space="preserve"> </w:t>
      </w:r>
      <w:r>
        <w:t xml:space="preserve">the source’s present causation of created actuality, not spatial proximity.</w:t>
      </w:r>
      <w:r>
        <w:t xml:space="preserve"> </w:t>
      </w:r>
      <w:r>
        <w:rPr>
          <w:b/>
          <w:bCs/>
        </w:rPr>
        <w:t xml:space="preserve">Transcendence:</w:t>
      </w:r>
      <w:r>
        <w:t xml:space="preserve"> </w:t>
      </w:r>
      <w:r>
        <w:t xml:space="preserve">underivation and unbounded actuality, not distance.</w:t>
      </w:r>
    </w:p>
    <w:p>
      <w:pPr>
        <w:pStyle w:val="Compact"/>
        <w:numPr>
          <w:ilvl w:val="0"/>
          <w:numId w:val="1001"/>
        </w:numPr>
      </w:pPr>
      <w:r>
        <w:rPr>
          <w:b/>
          <w:bCs/>
        </w:rPr>
        <w:t xml:space="preserve">Perfection:</w:t>
      </w:r>
      <w:r>
        <w:t xml:space="preserve"> </w:t>
      </w:r>
      <w:r>
        <w:t xml:space="preserve">a defended interpretation of positive realized content; it is not reducible to mere causal effecthood.</w:t>
      </w:r>
      <w:r>
        <w:t xml:space="preserve"> </w:t>
      </w:r>
      <w:r>
        <w:rPr>
          <w:b/>
          <w:bCs/>
        </w:rPr>
        <w:t xml:space="preserve">Intelligibility:</w:t>
      </w:r>
      <w:r>
        <w:t xml:space="preserve"> </w:t>
      </w:r>
      <w:r>
        <w:t xml:space="preserve">receives no separate proof from the base; divine cognition/logoi provide theological interpretations and further premises.</w:t>
      </w:r>
    </w:p>
    <w:bookmarkEnd w:id="159"/>
    <w:bookmarkStart w:id="160" w:name="derivation-tree"/>
    <w:p>
      <w:pPr>
        <w:pStyle w:val="Heading3"/>
      </w:pPr>
      <w:r>
        <w:t xml:space="preserve">4. Derivation tree</w:t>
      </w:r>
    </w:p>
    <w:p>
      <w:pPr>
        <w:pStyle w:val="SourceCode"/>
      </w:pPr>
      <w:r>
        <w:rPr>
          <w:rStyle w:val="VerbatimChar"/>
        </w:rPr>
        <w:t xml:space="preserve">G + CP + U                 → asymmetric source–effect dependence</w:t>
      </w:r>
      <w:r>
        <w:br/>
      </w:r>
      <w:r>
        <w:rPr>
          <w:rStyle w:val="VerbatimChar"/>
        </w:rPr>
        <w:t xml:space="preserve">Rec + CP                   → P</w:t>
      </w:r>
      <w:r>
        <w:br/>
      </w:r>
      <w:r>
        <w:rPr>
          <w:rStyle w:val="VerbatimChar"/>
        </w:rPr>
        <w:t xml:space="preserve">P + Q                      → L and E</w:t>
      </w:r>
      <w:r>
        <w:br/>
      </w:r>
      <w:r>
        <w:rPr>
          <w:rStyle w:val="VerbatimChar"/>
        </w:rPr>
        <w:t xml:space="preserve">CP + U                     → a source-caused effect cannot be g</w:t>
      </w:r>
      <w:r>
        <w:br/>
      </w:r>
      <w:r>
        <w:rPr>
          <w:rStyle w:val="VerbatimChar"/>
        </w:rPr>
        <w:t xml:space="preserve">KD + U                     → g has no proper intrinsic constituents</w:t>
      </w:r>
      <w:r>
        <w:br/>
      </w:r>
      <w:r>
        <w:rPr>
          <w:rStyle w:val="VerbatimChar"/>
        </w:rPr>
        <w:t xml:space="preserve">KH + FS + FC               → g is no intrinsic constituent of a creature</w:t>
      </w:r>
      <w:r>
        <w:br/>
      </w:r>
      <w:r>
        <w:rPr>
          <w:rStyle w:val="VerbatimChar"/>
        </w:rPr>
        <w:t xml:space="preserve">FS + FC                    → finite actuality cannot measure source actuality</w:t>
      </w:r>
      <w:r>
        <w:br/>
      </w:r>
      <w:r>
        <w:rPr>
          <w:rStyle w:val="VerbatimChar"/>
        </w:rPr>
        <w:t xml:space="preserve">source profile + X         → varying effects without intrinsic source gain</w:t>
      </w:r>
      <w:r>
        <w:br/>
      </w:r>
      <w:r>
        <w:rPr>
          <w:rStyle w:val="VerbatimChar"/>
        </w:rPr>
        <w:t xml:space="preserve">KD + U + N                 → no natural genus constituted by distinct principles</w:t>
      </w:r>
      <w:r>
        <w:br/>
      </w:r>
      <w:r>
        <w:rPr>
          <w:rStyle w:val="VerbatimChar"/>
        </w:rPr>
        <w:t xml:space="preserve">X + accessible alternative → contingency of the specified effect</w:t>
      </w:r>
      <w:r>
        <w:br/>
      </w:r>
      <w:r>
        <w:rPr>
          <w:rStyle w:val="VerbatimChar"/>
        </w:rPr>
        <w:t xml:space="preserve">X + no-creation alternative → no finite expression necessary from fullness</w:t>
      </w:r>
      <w:r>
        <w:br/>
      </w:r>
      <w:r>
        <w:rPr>
          <w:rStyle w:val="VerbatimChar"/>
        </w:rPr>
        <w:t xml:space="preserve">these + free intentional selection → scope for intentional free creation</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Target</w:t>
            </w:r>
          </w:p>
        </w:tc>
        <w:tc>
          <w:tcPr>
            <w:tcW w:type="dxa" w:w="3312"/>
            <w:shd w:fill="EAE5DA"/>
          </w:tcPr>
          <w:p>
            <w:pPr>
              <w:pStyle w:val="BodyText"/>
              <w:keepNext w:val="0"/>
              <w:spacing w:after="80" w:line="252" w:lineRule="auto"/>
              <w:jc w:val="left"/>
            </w:pPr>
            <w:r>
              <w:rPr>
                <w:rFonts w:ascii="Calibri" w:hAnsi="Calibri"/>
                <w:b/>
                <w:sz w:val="17"/>
              </w:rPr>
              <w:t xml:space="preserve">Result</w:t>
            </w:r>
          </w:p>
        </w:tc>
        <w:tc>
          <w:tcPr>
            <w:tcW w:type="dxa" w:w="3312"/>
            <w:shd w:fill="EAE5DA"/>
          </w:tcPr>
          <w:p>
            <w:pPr>
              <w:pStyle w:val="BodyText"/>
              <w:keepNext w:val="0"/>
              <w:spacing w:after="80" w:line="252" w:lineRule="auto"/>
              <w:jc w:val="left"/>
            </w:pPr>
            <w:r>
              <w:rPr>
                <w:rFonts w:ascii="Calibri" w:hAnsi="Calibri"/>
                <w:b/>
                <w:sz w:val="17"/>
              </w:rPr>
              <w:t xml:space="preserve">Clauses / limits</w:t>
            </w:r>
          </w:p>
        </w:tc>
      </w:tr>
      <w:tr>
        <w:tc>
          <w:tcPr>
            <w:tcW w:type="dxa" w:w="3312"/>
          </w:tcPr>
          <w:p>
            <w:pPr>
              <w:pStyle w:val="BodyText"/>
              <w:keepNext w:val="0"/>
              <w:spacing w:after="80" w:line="252" w:lineRule="auto"/>
              <w:jc w:val="left"/>
            </w:pPr>
            <w:r>
              <w:rPr>
                <w:rFonts w:ascii="Calibri" w:hAnsi="Calibri"/>
                <w:sz w:val="17"/>
              </w:rPr>
              <w:t xml:space="preserve">T1 Participation without partition</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G, CP, U, KD, KH, FS, FC: KD + U exclude a creature as a constituent of g. KH + FS + FC exclude g as a constituent of a creature. This excludes substance-sharing, not every possible meaning of expression.</w:t>
            </w:r>
          </w:p>
        </w:tc>
      </w:tr>
      <w:tr>
        <w:tc>
          <w:tcPr>
            <w:tcW w:type="dxa" w:w="3312"/>
          </w:tcPr>
          <w:p>
            <w:pPr>
              <w:pStyle w:val="BodyText"/>
              <w:keepNext w:val="0"/>
              <w:spacing w:after="80" w:line="252" w:lineRule="auto"/>
              <w:jc w:val="left"/>
            </w:pPr>
            <w:r>
              <w:rPr>
                <w:rFonts w:ascii="Calibri" w:hAnsi="Calibri"/>
                <w:sz w:val="17"/>
              </w:rPr>
              <w:t xml:space="preserve">T2 Likeness without identity</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CP, U, Q: For an actual C(g,x,q) effect with H(x,q,m), Q supplies shared content. If x were g, CP would imply dependence of g, contradicting U. No difference is hidden in the definition of reception.</w:t>
            </w:r>
          </w:p>
        </w:tc>
      </w:tr>
      <w:tr>
        <w:tc>
          <w:tcPr>
            <w:tcW w:type="dxa" w:w="3312"/>
          </w:tcPr>
          <w:p>
            <w:pPr>
              <w:pStyle w:val="BodyText"/>
              <w:keepNext w:val="0"/>
              <w:spacing w:after="80" w:line="252" w:lineRule="auto"/>
              <w:jc w:val="left"/>
            </w:pPr>
            <w:r>
              <w:rPr>
                <w:rFonts w:ascii="Calibri" w:hAnsi="Calibri"/>
                <w:sz w:val="17"/>
              </w:rPr>
              <w:t xml:space="preserve">T3 Likeness without common genus</w:t>
            </w:r>
          </w:p>
        </w:tc>
        <w:tc>
          <w:tcPr>
            <w:tcW w:type="dxa" w:w="3312"/>
          </w:tcPr>
          <w:p>
            <w:pPr>
              <w:pStyle w:val="BodyText"/>
              <w:keepNext w:val="0"/>
              <w:spacing w:after="80" w:line="252" w:lineRule="auto"/>
              <w:jc w:val="left"/>
            </w:pPr>
            <w:r>
              <w:rPr>
                <w:rFonts w:ascii="Calibri" w:hAnsi="Calibri"/>
                <w:sz w:val="17"/>
              </w:rPr>
              <w:t xml:space="preserve">Extra bridge</w:t>
            </w:r>
          </w:p>
        </w:tc>
        <w:tc>
          <w:tcPr>
            <w:tcW w:type="dxa" w:w="3312"/>
          </w:tcPr>
          <w:p>
            <w:pPr>
              <w:pStyle w:val="BodyText"/>
              <w:keepNext w:val="0"/>
              <w:spacing w:after="80" w:line="252" w:lineRule="auto"/>
              <w:jc w:val="left"/>
            </w:pPr>
            <w:r>
              <w:rPr>
                <w:rFonts w:ascii="Calibri" w:hAnsi="Calibri"/>
                <w:sz w:val="17"/>
              </w:rPr>
              <w:t xml:space="preserve">G, Q, U, KD, N: The basic assumptions block an inference from likeness to genus; it does not prove that no genus exists. N + KD + U exclude natural genus-membership. Scotist univocity of a concept is a separate issue.</w:t>
            </w:r>
          </w:p>
        </w:tc>
      </w:tr>
      <w:tr>
        <w:tc>
          <w:tcPr>
            <w:tcW w:type="dxa" w:w="3312"/>
          </w:tcPr>
          <w:p>
            <w:pPr>
              <w:pStyle w:val="BodyText"/>
              <w:keepNext w:val="0"/>
              <w:spacing w:after="80" w:line="252" w:lineRule="auto"/>
              <w:jc w:val="left"/>
            </w:pPr>
            <w:r>
              <w:rPr>
                <w:rFonts w:ascii="Calibri" w:hAnsi="Calibri"/>
                <w:sz w:val="17"/>
              </w:rPr>
              <w:t xml:space="preserve">T4 Dependence without reciprocal completion</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G, CP, U: Effects depend on g; no actuality of g is grounded in them.</w:t>
            </w:r>
            <w:r>
              <w:rPr>
                <w:rFonts w:ascii="Calibri" w:hAnsi="Calibri"/>
                <w:sz w:val="17"/>
              </w:rPr>
              <w:t xml:space="preserve"> </w:t>
            </w:r>
            <w:r>
              <w:rPr>
                <w:rFonts w:ascii="Calibri" w:hAnsi="Calibri"/>
                <w:sz w:val="17"/>
              </w:rPr>
              <w:t xml:space="preserve">“</w:t>
            </w:r>
            <w:r>
              <w:rPr>
                <w:rFonts w:ascii="Calibri" w:hAnsi="Calibri"/>
                <w:sz w:val="17"/>
              </w:rPr>
              <w:t xml:space="preserve">Completion</w:t>
            </w:r>
            <w:r>
              <w:rPr>
                <w:rFonts w:ascii="Calibri" w:hAnsi="Calibri"/>
                <w:sz w:val="17"/>
              </w:rPr>
              <w:t xml:space="preserve">”</w:t>
            </w:r>
            <w:r>
              <w:rPr>
                <w:rFonts w:ascii="Calibri" w:hAnsi="Calibri"/>
                <w:sz w:val="17"/>
              </w:rPr>
              <w:t xml:space="preserve"> </w:t>
            </w:r>
            <w:r>
              <w:rPr>
                <w:rFonts w:ascii="Calibri" w:hAnsi="Calibri"/>
                <w:sz w:val="17"/>
              </w:rPr>
              <w:t xml:space="preserve">must mean acquisition or grounding of intrinsic perfection, not merely true external predication.</w:t>
            </w:r>
          </w:p>
        </w:tc>
      </w:tr>
      <w:tr>
        <w:tc>
          <w:tcPr>
            <w:tcW w:type="dxa" w:w="3312"/>
          </w:tcPr>
          <w:p>
            <w:pPr>
              <w:pStyle w:val="BodyText"/>
              <w:keepNext w:val="0"/>
              <w:spacing w:after="80" w:line="252" w:lineRule="auto"/>
              <w:jc w:val="left"/>
            </w:pPr>
            <w:r>
              <w:rPr>
                <w:rFonts w:ascii="Calibri" w:hAnsi="Calibri"/>
                <w:sz w:val="17"/>
              </w:rPr>
              <w:t xml:space="preserve">T5 Causal intimacy without constituent identity</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G, CP, U, KD, KH, FS, FC: G requires the source to sustain actuality in the present. T1 rules out intrinsic constituency in either direction. Intimacy means this immediate grounding, not spatial closeness.</w:t>
            </w:r>
          </w:p>
        </w:tc>
      </w:tr>
      <w:tr>
        <w:tc>
          <w:tcPr>
            <w:tcW w:type="dxa" w:w="3312"/>
          </w:tcPr>
          <w:p>
            <w:pPr>
              <w:pStyle w:val="BodyText"/>
              <w:keepNext w:val="0"/>
              <w:spacing w:after="80" w:line="252" w:lineRule="auto"/>
              <w:jc w:val="left"/>
            </w:pPr>
            <w:r>
              <w:rPr>
                <w:rFonts w:ascii="Calibri" w:hAnsi="Calibri"/>
                <w:sz w:val="17"/>
              </w:rPr>
              <w:t xml:space="preserve">T6 Transcendence without distance</w:t>
            </w:r>
          </w:p>
        </w:tc>
        <w:tc>
          <w:tcPr>
            <w:tcW w:type="dxa" w:w="3312"/>
          </w:tcPr>
          <w:p>
            <w:pPr>
              <w:pStyle w:val="BodyText"/>
              <w:keepNext w:val="0"/>
              <w:spacing w:after="80" w:line="252" w:lineRule="auto"/>
              <w:jc w:val="left"/>
            </w:pPr>
            <w:r>
              <w:rPr>
                <w:rFonts w:ascii="Calibri" w:hAnsi="Calibri"/>
                <w:sz w:val="17"/>
              </w:rPr>
              <w:t xml:space="preserve">Compatibility</w:t>
            </w:r>
          </w:p>
        </w:tc>
        <w:tc>
          <w:tcPr>
            <w:tcW w:type="dxa" w:w="3312"/>
          </w:tcPr>
          <w:p>
            <w:pPr>
              <w:pStyle w:val="BodyText"/>
              <w:keepNext w:val="0"/>
              <w:spacing w:after="80" w:line="252" w:lineRule="auto"/>
              <w:jc w:val="left"/>
            </w:pPr>
            <w:r>
              <w:rPr>
                <w:rFonts w:ascii="Calibri" w:hAnsi="Calibri"/>
                <w:sz w:val="17"/>
              </w:rPr>
              <w:t xml:space="preserve">G, CP, U, FS, FC: Unequal modes and underivation coexist with present causation. The theory neither places God at a spatial location nor proves a spatial negative from a language without space.</w:t>
            </w:r>
          </w:p>
        </w:tc>
      </w:tr>
      <w:tr>
        <w:tc>
          <w:tcPr>
            <w:tcW w:type="dxa" w:w="3312"/>
          </w:tcPr>
          <w:p>
            <w:pPr>
              <w:pStyle w:val="BodyText"/>
              <w:keepNext w:val="0"/>
              <w:spacing w:after="80" w:line="252" w:lineRule="auto"/>
              <w:jc w:val="left"/>
            </w:pPr>
            <w:r>
              <w:rPr>
                <w:rFonts w:ascii="Calibri" w:hAnsi="Calibri"/>
                <w:sz w:val="17"/>
              </w:rPr>
              <w:t xml:space="preserve">T7 Finite manifestation without exhaustive representation</w:t>
            </w:r>
          </w:p>
        </w:tc>
        <w:tc>
          <w:tcPr>
            <w:tcW w:type="dxa" w:w="3312"/>
          </w:tcPr>
          <w:p>
            <w:pPr>
              <w:pStyle w:val="BodyText"/>
              <w:keepNext w:val="0"/>
              <w:spacing w:after="80" w:line="252" w:lineRule="auto"/>
              <w:jc w:val="left"/>
            </w:pPr>
            <w:r>
              <w:rPr>
                <w:rFonts w:ascii="Calibri" w:hAnsi="Calibri"/>
                <w:sz w:val="17"/>
              </w:rPr>
              <w:t xml:space="preserve">Qualified</w:t>
            </w:r>
          </w:p>
        </w:tc>
        <w:tc>
          <w:tcPr>
            <w:tcW w:type="dxa" w:w="3312"/>
          </w:tcPr>
          <w:p>
            <w:pPr>
              <w:pStyle w:val="BodyText"/>
              <w:keepNext w:val="0"/>
              <w:spacing w:after="80" w:line="252" w:lineRule="auto"/>
              <w:jc w:val="left"/>
            </w:pPr>
            <w:r>
              <w:rPr>
                <w:rFonts w:ascii="Calibri" w:hAnsi="Calibri"/>
                <w:sz w:val="17"/>
              </w:rPr>
              <w:t xml:space="preserve">G, Q, FS, FC: Source-related content can be truly manifested while a finite realization fails to match unlimited source actuality. Objective expression is not yet warranted recognition. A finite proposition can be exactly true; the mode comparison does not disqualify every representation or infinite aggregate.</w:t>
            </w:r>
          </w:p>
        </w:tc>
      </w:tr>
      <w:tr>
        <w:tc>
          <w:tcPr>
            <w:tcW w:type="dxa" w:w="3312"/>
          </w:tcPr>
          <w:p>
            <w:pPr>
              <w:pStyle w:val="BodyText"/>
              <w:keepNext w:val="0"/>
              <w:spacing w:after="80" w:line="252" w:lineRule="auto"/>
              <w:jc w:val="left"/>
            </w:pPr>
            <w:r>
              <w:rPr>
                <w:rFonts w:ascii="Calibri" w:hAnsi="Calibri"/>
                <w:sz w:val="17"/>
              </w:rPr>
              <w:t xml:space="preserve">T8 Real communication without source-completion</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G, CP, Q, U, X: H places the received perfection really in the participant; C gives its productive origin. Nonpartition is established separately by T1. U excludes completion grounded in the effect; X additionally excludes intrinsic gain correlated with different communications.</w:t>
            </w:r>
          </w:p>
        </w:tc>
      </w:tr>
      <w:tr>
        <w:tc>
          <w:tcPr>
            <w:tcW w:type="dxa" w:w="3312"/>
          </w:tcPr>
          <w:p>
            <w:pPr>
              <w:pStyle w:val="BodyText"/>
              <w:keepNext w:val="0"/>
              <w:spacing w:after="80" w:line="252" w:lineRule="auto"/>
              <w:jc w:val="left"/>
            </w:pPr>
            <w:r>
              <w:rPr>
                <w:rFonts w:ascii="Calibri" w:hAnsi="Calibri"/>
                <w:sz w:val="17"/>
              </w:rPr>
              <w:t xml:space="preserve">T9 Creaturely perfection without independent Forms</w:t>
            </w:r>
          </w:p>
        </w:tc>
        <w:tc>
          <w:tcPr>
            <w:tcW w:type="dxa" w:w="3312"/>
          </w:tcPr>
          <w:p>
            <w:pPr>
              <w:pStyle w:val="BodyText"/>
              <w:keepNext w:val="0"/>
              <w:spacing w:after="80" w:line="252" w:lineRule="auto"/>
              <w:jc w:val="left"/>
            </w:pPr>
            <w:r>
              <w:rPr>
                <w:rFonts w:ascii="Calibri" w:hAnsi="Calibri"/>
                <w:sz w:val="17"/>
              </w:rPr>
              <w:t xml:space="preserve">Economy, not exclusion</w:t>
            </w:r>
          </w:p>
        </w:tc>
        <w:tc>
          <w:tcPr>
            <w:tcW w:type="dxa" w:w="3312"/>
          </w:tcPr>
          <w:p>
            <w:pPr>
              <w:pStyle w:val="BodyText"/>
              <w:keepNext w:val="0"/>
              <w:spacing w:after="80" w:line="252" w:lineRule="auto"/>
              <w:jc w:val="left"/>
            </w:pPr>
            <w:r>
              <w:rPr>
                <w:rFonts w:ascii="Calibri" w:hAnsi="Calibri"/>
                <w:sz w:val="17"/>
              </w:rPr>
              <w:t xml:space="preserve">G, Q: H records what the creature really possesses; q indexes intelligible content without introducing an actual detached Form. An independently existing Form is unnecessary for this account of sourced perfection. Its nonexistence requires an additional ontological closure principle.</w:t>
            </w:r>
          </w:p>
        </w:tc>
      </w:tr>
      <w:tr>
        <w:tc>
          <w:tcPr>
            <w:tcW w:type="dxa" w:w="3312"/>
          </w:tcPr>
          <w:p>
            <w:pPr>
              <w:pStyle w:val="BodyText"/>
              <w:keepNext w:val="0"/>
              <w:spacing w:after="80" w:line="252" w:lineRule="auto"/>
              <w:jc w:val="left"/>
            </w:pPr>
            <w:r>
              <w:rPr>
                <w:rFonts w:ascii="Calibri" w:hAnsi="Calibri"/>
                <w:sz w:val="17"/>
              </w:rPr>
              <w:t xml:space="preserve">T10 Divine immanence without pantheistic identity</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G, CP, U, KH, FS, FC: Present sustaining causality and source–effect nonidentity jointly hold. This excludes identity-pantheism;</w:t>
            </w:r>
            <w:r>
              <w:rPr>
                <w:rFonts w:ascii="Calibri" w:hAnsi="Calibri"/>
                <w:sz w:val="17"/>
              </w:rPr>
              <w:t xml:space="preserve"> </w:t>
            </w:r>
            <w:r>
              <w:rPr>
                <w:rFonts w:ascii="Calibri" w:hAnsi="Calibri"/>
                <w:sz w:val="17"/>
              </w:rPr>
              <w:t xml:space="preserve">“</w:t>
            </w:r>
            <w:r>
              <w:rPr>
                <w:rFonts w:ascii="Calibri" w:hAnsi="Calibri"/>
                <w:sz w:val="17"/>
              </w:rPr>
              <w:t xml:space="preserve">panentheism</w:t>
            </w:r>
            <w:r>
              <w:rPr>
                <w:rFonts w:ascii="Calibri" w:hAnsi="Calibri"/>
                <w:sz w:val="17"/>
              </w:rPr>
              <w:t xml:space="preserve">”</w:t>
            </w:r>
            <w:r>
              <w:rPr>
                <w:rFonts w:ascii="Calibri" w:hAnsi="Calibri"/>
                <w:sz w:val="17"/>
              </w:rPr>
              <w:t xml:space="preserve"> </w:t>
            </w:r>
            <w:r>
              <w:rPr>
                <w:rFonts w:ascii="Calibri" w:hAnsi="Calibri"/>
                <w:sz w:val="17"/>
              </w:rPr>
              <w:t xml:space="preserve">remains too varied a label to refute by one theorem.</w:t>
            </w:r>
          </w:p>
        </w:tc>
      </w:tr>
      <w:tr>
        <w:tc>
          <w:tcPr>
            <w:tcW w:type="dxa" w:w="3312"/>
          </w:tcPr>
          <w:p>
            <w:pPr>
              <w:pStyle w:val="BodyText"/>
              <w:keepNext w:val="0"/>
              <w:spacing w:after="80" w:line="252" w:lineRule="auto"/>
              <w:jc w:val="left"/>
            </w:pPr>
            <w:r>
              <w:rPr>
                <w:rFonts w:ascii="Calibri" w:hAnsi="Calibri"/>
                <w:sz w:val="17"/>
              </w:rPr>
              <w:t xml:space="preserve">T11 Asymmetric Creator–creature relation</w:t>
            </w:r>
          </w:p>
        </w:tc>
        <w:tc>
          <w:tcPr>
            <w:tcW w:type="dxa" w:w="3312"/>
          </w:tcPr>
          <w:p>
            <w:pPr>
              <w:pStyle w:val="BodyText"/>
              <w:keepNext w:val="0"/>
              <w:spacing w:after="80" w:line="252" w:lineRule="auto"/>
              <w:jc w:val="left"/>
            </w:pPr>
            <w:r>
              <w:rPr>
                <w:rFonts w:ascii="Calibri" w:hAnsi="Calibri"/>
                <w:sz w:val="17"/>
              </w:rPr>
              <w:t xml:space="preserve">Qualified</w:t>
            </w:r>
          </w:p>
        </w:tc>
        <w:tc>
          <w:tcPr>
            <w:tcW w:type="dxa" w:w="3312"/>
          </w:tcPr>
          <w:p>
            <w:pPr>
              <w:pStyle w:val="BodyText"/>
              <w:keepNext w:val="0"/>
              <w:spacing w:after="80" w:line="252" w:lineRule="auto"/>
              <w:jc w:val="left"/>
            </w:pPr>
            <w:r>
              <w:rPr>
                <w:rFonts w:ascii="Calibri" w:hAnsi="Calibri"/>
                <w:sz w:val="17"/>
              </w:rPr>
              <w:t xml:space="preserve">G, CP, U, X: D is an actual creaturely grounding fact; source intrinsic actuality is not constituted by changed effects. Aquinas’s further</w:t>
            </w:r>
            <w:r>
              <w:rPr>
                <w:rFonts w:ascii="Calibri" w:hAnsi="Calibri"/>
                <w:sz w:val="17"/>
              </w:rPr>
              <w:t xml:space="preserve"> </w:t>
            </w:r>
            <w:r>
              <w:rPr>
                <w:rFonts w:ascii="Calibri" w:hAnsi="Calibri"/>
                <w:sz w:val="17"/>
              </w:rPr>
              <w:t xml:space="preserve">“</w:t>
            </w:r>
            <w:r>
              <w:rPr>
                <w:rFonts w:ascii="Calibri" w:hAnsi="Calibri"/>
                <w:sz w:val="17"/>
              </w:rPr>
              <w:t xml:space="preserve">real / relation of reason</w:t>
            </w:r>
            <w:r>
              <w:rPr>
                <w:rFonts w:ascii="Calibri" w:hAnsi="Calibri"/>
                <w:sz w:val="17"/>
              </w:rPr>
              <w:t xml:space="preserve">”</w:t>
            </w:r>
            <w:r>
              <w:rPr>
                <w:rFonts w:ascii="Calibri" w:hAnsi="Calibri"/>
                <w:sz w:val="17"/>
              </w:rPr>
              <w:t xml:space="preserve"> </w:t>
            </w:r>
            <w:r>
              <w:rPr>
                <w:rFonts w:ascii="Calibri" w:hAnsi="Calibri"/>
                <w:sz w:val="17"/>
              </w:rPr>
              <w:t xml:space="preserve">classification requires a school-specific relational ontology.</w:t>
            </w:r>
          </w:p>
        </w:tc>
      </w:tr>
      <w:tr>
        <w:tc>
          <w:tcPr>
            <w:tcW w:type="dxa" w:w="3312"/>
          </w:tcPr>
          <w:p>
            <w:pPr>
              <w:pStyle w:val="BodyText"/>
              <w:keepNext w:val="0"/>
              <w:spacing w:after="80" w:line="252" w:lineRule="auto"/>
              <w:jc w:val="left"/>
            </w:pPr>
            <w:r>
              <w:rPr>
                <w:rFonts w:ascii="Calibri" w:hAnsi="Calibri"/>
                <w:sz w:val="17"/>
              </w:rPr>
              <w:t xml:space="preserve">T12 Finite measure belongs to the recipient</w:t>
            </w:r>
          </w:p>
        </w:tc>
        <w:tc>
          <w:tcPr>
            <w:tcW w:type="dxa" w:w="3312"/>
          </w:tcPr>
          <w:p>
            <w:pPr>
              <w:pStyle w:val="BodyText"/>
              <w:keepNext w:val="0"/>
              <w:spacing w:after="80" w:line="252" w:lineRule="auto"/>
              <w:jc w:val="left"/>
            </w:pPr>
            <w:r>
              <w:rPr>
                <w:rFonts w:ascii="Calibri" w:hAnsi="Calibri"/>
                <w:sz w:val="17"/>
              </w:rPr>
              <w:t xml:space="preserve">Indexed fact</w:t>
            </w:r>
          </w:p>
        </w:tc>
        <w:tc>
          <w:tcPr>
            <w:tcW w:type="dxa" w:w="3312"/>
          </w:tcPr>
          <w:p>
            <w:pPr>
              <w:pStyle w:val="BodyText"/>
              <w:keepNext w:val="0"/>
              <w:spacing w:after="80" w:line="252" w:lineRule="auto"/>
              <w:jc w:val="left"/>
            </w:pPr>
            <w:r>
              <w:rPr>
                <w:rFonts w:ascii="Calibri" w:hAnsi="Calibri"/>
                <w:sz w:val="17"/>
              </w:rPr>
              <w:t xml:space="preserve">FS, FC: H indexes mode to its subject. FC bounds creatures; FS independently leaves the source unbounded. Subject-indexing alone would never prove divine infinity.</w:t>
            </w:r>
          </w:p>
        </w:tc>
      </w:tr>
      <w:tr>
        <w:tc>
          <w:tcPr>
            <w:tcW w:type="dxa" w:w="3312"/>
          </w:tcPr>
          <w:p>
            <w:pPr>
              <w:pStyle w:val="BodyText"/>
              <w:keepNext w:val="0"/>
              <w:spacing w:after="80" w:line="252" w:lineRule="auto"/>
              <w:jc w:val="left"/>
            </w:pPr>
            <w:r>
              <w:rPr>
                <w:rFonts w:ascii="Calibri" w:hAnsi="Calibri"/>
                <w:sz w:val="17"/>
              </w:rPr>
              <w:t xml:space="preserve">T13 Many expressions, no multiplied source</w:t>
            </w:r>
          </w:p>
        </w:tc>
        <w:tc>
          <w:tcPr>
            <w:tcW w:type="dxa" w:w="3312"/>
          </w:tcPr>
          <w:p>
            <w:pPr>
              <w:pStyle w:val="BodyText"/>
              <w:keepNext w:val="0"/>
              <w:spacing w:after="80" w:line="252" w:lineRule="auto"/>
              <w:jc w:val="left"/>
            </w:pPr>
            <w:r>
              <w:rPr>
                <w:rFonts w:ascii="Calibri" w:hAnsi="Calibri"/>
                <w:sz w:val="17"/>
              </w:rPr>
              <w:t xml:space="preserve">Non-entailment</w:t>
            </w:r>
          </w:p>
        </w:tc>
        <w:tc>
          <w:tcPr>
            <w:tcW w:type="dxa" w:w="3312"/>
          </w:tcPr>
          <w:p>
            <w:pPr>
              <w:pStyle w:val="BodyText"/>
              <w:keepNext w:val="0"/>
              <w:spacing w:after="80" w:line="252" w:lineRule="auto"/>
              <w:jc w:val="left"/>
            </w:pPr>
            <w:r>
              <w:rPr>
                <w:rFonts w:ascii="Calibri" w:hAnsi="Calibri"/>
                <w:sz w:val="17"/>
              </w:rPr>
              <w:t xml:space="preserve">G, CP, U, KD, X: KD + U exclude composition of g; X allows multiple created effects with unchanged intrinsic source actuality. Many effects do not entail many divine constituents. This does not settle formalities or energies.</w:t>
            </w:r>
          </w:p>
        </w:tc>
      </w:tr>
      <w:tr>
        <w:tc>
          <w:tcPr>
            <w:tcW w:type="dxa" w:w="3312"/>
          </w:tcPr>
          <w:p>
            <w:pPr>
              <w:pStyle w:val="BodyText"/>
              <w:keepNext w:val="0"/>
              <w:spacing w:after="80" w:line="252" w:lineRule="auto"/>
              <w:jc w:val="left"/>
            </w:pPr>
            <w:r>
              <w:rPr>
                <w:rFonts w:ascii="Calibri" w:hAnsi="Calibri"/>
                <w:sz w:val="17"/>
              </w:rPr>
              <w:t xml:space="preserve">T14 No finite participation measures the unlimited source</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FS, FC: For actuality e, every finite μₑ(x) is strictly below μₑ(g). For another perfection q, add unlimitedness of the source and boundedness of that participation in that very respect.</w:t>
            </w:r>
          </w:p>
        </w:tc>
      </w:tr>
      <w:tr>
        <w:tc>
          <w:tcPr>
            <w:tcW w:type="dxa" w:w="3312"/>
          </w:tcPr>
          <w:p>
            <w:pPr>
              <w:pStyle w:val="BodyText"/>
              <w:keepNext w:val="0"/>
              <w:spacing w:after="80" w:line="252" w:lineRule="auto"/>
              <w:jc w:val="left"/>
            </w:pPr>
            <w:r>
              <w:rPr>
                <w:rFonts w:ascii="Calibri" w:hAnsi="Calibri"/>
                <w:sz w:val="17"/>
              </w:rPr>
              <w:t xml:space="preserve">T15 No particular expression necessitated by fullness</w:t>
            </w:r>
          </w:p>
        </w:tc>
        <w:tc>
          <w:tcPr>
            <w:tcW w:type="dxa" w:w="3312"/>
          </w:tcPr>
          <w:p>
            <w:pPr>
              <w:pStyle w:val="BodyText"/>
              <w:keepNext w:val="0"/>
              <w:spacing w:after="80" w:line="252" w:lineRule="auto"/>
              <w:jc w:val="left"/>
            </w:pPr>
            <w:r>
              <w:rPr>
                <w:rFonts w:ascii="Calibri" w:hAnsi="Calibri"/>
                <w:sz w:val="17"/>
              </w:rPr>
              <w:t xml:space="preserve">Extra modal premise</w:t>
            </w:r>
          </w:p>
        </w:tc>
        <w:tc>
          <w:tcPr>
            <w:tcW w:type="dxa" w:w="3312"/>
          </w:tcPr>
          <w:p>
            <w:pPr>
              <w:pStyle w:val="BodyText"/>
              <w:keepNext w:val="0"/>
              <w:spacing w:after="80" w:line="252" w:lineRule="auto"/>
              <w:jc w:val="left"/>
            </w:pPr>
            <w:r>
              <w:rPr>
                <w:rFonts w:ascii="Calibri" w:hAnsi="Calibri"/>
                <w:sz w:val="17"/>
              </w:rPr>
              <w:t xml:space="preserve">X, V: V supplies a genuine no-creation alternative with the same source fullness, so no finite expression is necessary from that fullness. W is additionally required for intentional free selection. Neither follows from non-exhaustion.</w:t>
            </w:r>
          </w:p>
        </w:tc>
      </w:tr>
    </w:tbl>
    <w:p>
      <w:pPr>
        <w:pStyle w:val="BodyText"/>
      </w:pPr>
      <w:r>
        <w:t xml:space="preserve">For T1, KD + U forbid an intrinsic creature-constituent of g; KH + FS + FC forbid g as an intrinsic constituent of a finite effect. A simple source could otherwise remain a constituent of another. For T2, given C(g,x,q) and H(x,q,m), Q gives source-content; CP + U exclude x = g. Difference was not built into reception.</w:t>
      </w:r>
    </w:p>
    <w:p>
      <w:pPr>
        <w:pStyle w:val="BodyText"/>
      </w:pPr>
      <w:r>
        <w:t xml:space="preserve">Strong T3 requires</w:t>
      </w:r>
      <w:r>
        <w:t xml:space="preserve"> </w:t>
      </w:r>
      <w:r>
        <w:rPr>
          <w:b/>
          <w:bCs/>
        </w:rPr>
        <w:t xml:space="preserve">N</w:t>
      </w:r>
      <w:r>
        <w:t xml:space="preserve">, a defended natural-genus account: genus and specific differentiation are distinct intrinsic constitutive principles. Noncomposition then excludes that genus-membership. A shared concept of being is not thereby a natural genus; Scotist univocity is not refuted by this argument. The base proves no inference from shared H to genus, not no-genus by pure logic.</w:t>
      </w:r>
    </w:p>
    <w:p>
      <w:pPr>
        <w:pStyle w:val="BodyText"/>
      </w:pPr>
      <w:r>
        <w:t xml:space="preserve">T11 obtains real asymmetric creaturely grounding without intrinsic source constitution. Aquinas’s further real/relation-of-reason classification requires his relational ontology; true reciprocal predications are not denied. T13 does not prove that formalities or uncreated energies are creatureward conceptual distinctions.</w:t>
      </w:r>
    </w:p>
    <w:bookmarkEnd w:id="160"/>
    <w:bookmarkStart w:id="161" w:name="deletion-and-independence"/>
    <w:p>
      <w:pPr>
        <w:pStyle w:val="Heading3"/>
      </w:pPr>
      <w:r>
        <w:t xml:space="preserve">5. Deletion and independence</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Delete</w:t>
            </w:r>
          </w:p>
        </w:tc>
        <w:tc>
          <w:tcPr>
            <w:tcW w:type="dxa" w:w="3312"/>
            <w:shd w:fill="EAE5DA"/>
          </w:tcPr>
          <w:p>
            <w:pPr>
              <w:pStyle w:val="BodyText"/>
              <w:keepNext w:val="0"/>
              <w:spacing w:after="80" w:line="252" w:lineRule="auto"/>
              <w:jc w:val="left"/>
            </w:pPr>
            <w:r>
              <w:rPr>
                <w:rFonts w:ascii="Calibri" w:hAnsi="Calibri"/>
                <w:b/>
                <w:sz w:val="17"/>
              </w:rPr>
              <w:t xml:space="preserve">Retained-clause witness</w:t>
            </w:r>
          </w:p>
        </w:tc>
        <w:tc>
          <w:tcPr>
            <w:tcW w:type="dxa" w:w="3312"/>
            <w:shd w:fill="EAE5DA"/>
          </w:tcPr>
          <w:p>
            <w:pPr>
              <w:pStyle w:val="BodyText"/>
              <w:keepNext w:val="0"/>
              <w:spacing w:after="80" w:line="252" w:lineRule="auto"/>
              <w:jc w:val="left"/>
            </w:pPr>
            <w:r>
              <w:rPr>
                <w:rFonts w:ascii="Calibri" w:hAnsi="Calibri"/>
                <w:b/>
                <w:sz w:val="17"/>
              </w:rPr>
              <w:t xml:space="preserve">Consequence lost</w:t>
            </w:r>
          </w:p>
        </w:tc>
      </w:tr>
      <w:tr>
        <w:tc>
          <w:tcPr>
            <w:tcW w:type="dxa" w:w="3312"/>
          </w:tcPr>
          <w:p>
            <w:pPr>
              <w:pStyle w:val="BodyText"/>
              <w:keepNext w:val="0"/>
              <w:spacing w:after="80" w:line="252" w:lineRule="auto"/>
              <w:jc w:val="left"/>
            </w:pPr>
            <w:r>
              <w:rPr>
                <w:rFonts w:ascii="Calibri" w:hAnsi="Calibri"/>
                <w:sz w:val="17"/>
              </w:rPr>
              <w:t xml:space="preserve">G</w:t>
            </w:r>
          </w:p>
        </w:tc>
        <w:tc>
          <w:tcPr>
            <w:tcW w:type="dxa" w:w="3312"/>
          </w:tcPr>
          <w:p>
            <w:pPr>
              <w:pStyle w:val="BodyText"/>
              <w:keepNext w:val="0"/>
              <w:spacing w:after="80" w:line="252" w:lineRule="auto"/>
              <w:jc w:val="left"/>
            </w:pPr>
            <w:r>
              <w:rPr>
                <w:rFonts w:ascii="Calibri" w:hAnsi="Calibri"/>
                <w:sz w:val="17"/>
              </w:rPr>
              <w:t xml:space="preserve">Deistic or immanent remainder: some actual perfection persists without the designated source.</w:t>
            </w:r>
          </w:p>
        </w:tc>
        <w:tc>
          <w:tcPr>
            <w:tcW w:type="dxa" w:w="3312"/>
          </w:tcPr>
          <w:p>
            <w:pPr>
              <w:pStyle w:val="BodyText"/>
              <w:keepNext w:val="0"/>
              <w:spacing w:after="80" w:line="252" w:lineRule="auto"/>
              <w:jc w:val="left"/>
            </w:pPr>
            <w:r>
              <w:rPr>
                <w:rFonts w:ascii="Calibri" w:hAnsi="Calibri"/>
                <w:sz w:val="17"/>
              </w:rPr>
              <w:t xml:space="preserve">A genuinely actual creature with no source remains possible. Dependence</w:t>
            </w:r>
            <w:r>
              <w:rPr>
                <w:rFonts w:ascii="Calibri" w:hAnsi="Calibri"/>
                <w:sz w:val="17"/>
              </w:rPr>
              <w:t xml:space="preserve"> </w:t>
            </w:r>
            <w:r>
              <w:rPr>
                <w:rFonts w:ascii="Calibri" w:hAnsi="Calibri"/>
                <w:sz w:val="17"/>
              </w:rPr>
              <w:t xml:space="preserve">“</w:t>
            </w:r>
            <w:r>
              <w:rPr>
                <w:rFonts w:ascii="Calibri" w:hAnsi="Calibri"/>
                <w:sz w:val="17"/>
              </w:rPr>
              <w:t xml:space="preserve">in every moment</w:t>
            </w:r>
            <w:r>
              <w:rPr>
                <w:rFonts w:ascii="Calibri" w:hAnsi="Calibri"/>
                <w:sz w:val="17"/>
              </w:rPr>
              <w:t xml:space="preserve">”</w:t>
            </w:r>
            <w:r>
              <w:rPr>
                <w:rFonts w:ascii="Calibri" w:hAnsi="Calibri"/>
                <w:sz w:val="17"/>
              </w:rPr>
              <w:t xml:space="preserve"> </w:t>
            </w:r>
            <w:r>
              <w:rPr>
                <w:rFonts w:ascii="Calibri" w:hAnsi="Calibri"/>
                <w:sz w:val="17"/>
              </w:rPr>
              <w:t xml:space="preserve">cannot then be claimed.</w:t>
            </w:r>
          </w:p>
        </w:tc>
      </w:tr>
      <w:tr>
        <w:tc>
          <w:tcPr>
            <w:tcW w:type="dxa" w:w="3312"/>
          </w:tcPr>
          <w:p>
            <w:pPr>
              <w:pStyle w:val="BodyText"/>
              <w:keepNext w:val="0"/>
              <w:spacing w:after="80" w:line="252" w:lineRule="auto"/>
              <w:jc w:val="left"/>
            </w:pPr>
            <w:r>
              <w:rPr>
                <w:rFonts w:ascii="Calibri" w:hAnsi="Calibri"/>
                <w:sz w:val="17"/>
              </w:rPr>
              <w:t xml:space="preserve">CP</w:t>
            </w:r>
          </w:p>
        </w:tc>
        <w:tc>
          <w:tcPr>
            <w:tcW w:type="dxa" w:w="3312"/>
          </w:tcPr>
          <w:p>
            <w:pPr>
              <w:pStyle w:val="BodyText"/>
              <w:keepNext w:val="0"/>
              <w:spacing w:after="80" w:line="252" w:lineRule="auto"/>
              <w:jc w:val="left"/>
            </w:pPr>
            <w:r>
              <w:rPr>
                <w:rFonts w:ascii="Calibri" w:hAnsi="Calibri"/>
                <w:sz w:val="17"/>
              </w:rPr>
              <w:t xml:space="preserve">A merely succession-based causal model, with C but no corresponding D.</w:t>
            </w:r>
          </w:p>
        </w:tc>
        <w:tc>
          <w:tcPr>
            <w:tcW w:type="dxa" w:w="3312"/>
          </w:tcPr>
          <w:p>
            <w:pPr>
              <w:pStyle w:val="BodyText"/>
              <w:keepNext w:val="0"/>
              <w:spacing w:after="80" w:line="252" w:lineRule="auto"/>
              <w:jc w:val="left"/>
            </w:pPr>
            <w:r>
              <w:rPr>
                <w:rFonts w:ascii="Calibri" w:hAnsi="Calibri"/>
                <w:sz w:val="17"/>
              </w:rPr>
              <w:t xml:space="preserve">Causal arrows can coexist with no ontological dependence. Production no longer establishes the Creator–creature interval.</w:t>
            </w:r>
          </w:p>
        </w:tc>
      </w:tr>
      <w:tr>
        <w:tc>
          <w:tcPr>
            <w:tcW w:type="dxa" w:w="3312"/>
          </w:tcPr>
          <w:p>
            <w:pPr>
              <w:pStyle w:val="BodyText"/>
              <w:keepNext w:val="0"/>
              <w:spacing w:after="80" w:line="252" w:lineRule="auto"/>
              <w:jc w:val="left"/>
            </w:pPr>
            <w:r>
              <w:rPr>
                <w:rFonts w:ascii="Calibri" w:hAnsi="Calibri"/>
                <w:sz w:val="17"/>
              </w:rPr>
              <w:t xml:space="preserve">U</w:t>
            </w:r>
          </w:p>
        </w:tc>
        <w:tc>
          <w:tcPr>
            <w:tcW w:type="dxa" w:w="3312"/>
          </w:tcPr>
          <w:p>
            <w:pPr>
              <w:pStyle w:val="BodyText"/>
              <w:keepNext w:val="0"/>
              <w:spacing w:after="80" w:line="252" w:lineRule="auto"/>
              <w:jc w:val="left"/>
            </w:pPr>
            <w:r>
              <w:rPr>
                <w:rFonts w:ascii="Calibri" w:hAnsi="Calibri"/>
                <w:sz w:val="17"/>
              </w:rPr>
              <w:t xml:space="preserve">A source whose actuality is grounded in an actual creature, despite its unlimited mode.</w:t>
            </w:r>
          </w:p>
        </w:tc>
        <w:tc>
          <w:tcPr>
            <w:tcW w:type="dxa" w:w="3312"/>
          </w:tcPr>
          <w:p>
            <w:pPr>
              <w:pStyle w:val="BodyText"/>
              <w:keepNext w:val="0"/>
              <w:spacing w:after="80" w:line="252" w:lineRule="auto"/>
              <w:jc w:val="left"/>
            </w:pPr>
            <w:r>
              <w:rPr>
                <w:rFonts w:ascii="Calibri" w:hAnsi="Calibri"/>
                <w:sz w:val="17"/>
              </w:rPr>
              <w:t xml:space="preserve">An unlimited source may itself depend upon another. A cycle of grounding or divine completion is admitted.</w:t>
            </w:r>
          </w:p>
        </w:tc>
      </w:tr>
      <w:tr>
        <w:tc>
          <w:tcPr>
            <w:tcW w:type="dxa" w:w="3312"/>
          </w:tcPr>
          <w:p>
            <w:pPr>
              <w:pStyle w:val="BodyText"/>
              <w:keepNext w:val="0"/>
              <w:spacing w:after="80" w:line="252" w:lineRule="auto"/>
              <w:jc w:val="left"/>
            </w:pPr>
            <w:r>
              <w:rPr>
                <w:rFonts w:ascii="Calibri" w:hAnsi="Calibri"/>
                <w:sz w:val="17"/>
              </w:rPr>
              <w:t xml:space="preserve">Q</w:t>
            </w:r>
          </w:p>
        </w:tc>
        <w:tc>
          <w:tcPr>
            <w:tcW w:type="dxa" w:w="3312"/>
          </w:tcPr>
          <w:p>
            <w:pPr>
              <w:pStyle w:val="BodyText"/>
              <w:keepNext w:val="0"/>
              <w:spacing w:after="80" w:line="252" w:lineRule="auto"/>
              <w:jc w:val="left"/>
            </w:pPr>
            <w:r>
              <w:rPr>
                <w:rFonts w:ascii="Calibri" w:hAnsi="Calibri"/>
                <w:sz w:val="17"/>
              </w:rPr>
              <w:t xml:space="preserve">An opaque source causes a living effect while no corresponding life can be attributed to the source.</w:t>
            </w:r>
          </w:p>
        </w:tc>
        <w:tc>
          <w:tcPr>
            <w:tcW w:type="dxa" w:w="3312"/>
          </w:tcPr>
          <w:p>
            <w:pPr>
              <w:pStyle w:val="BodyText"/>
              <w:keepNext w:val="0"/>
              <w:spacing w:after="80" w:line="252" w:lineRule="auto"/>
              <w:jc w:val="left"/>
            </w:pPr>
            <w:r>
              <w:rPr>
                <w:rFonts w:ascii="Calibri" w:hAnsi="Calibri"/>
                <w:sz w:val="17"/>
              </w:rPr>
              <w:t xml:space="preserve">An actual causal source can produce the effect’s quality without possessing corresponding perfection. Likeness and manifestation disappear.</w:t>
            </w:r>
          </w:p>
        </w:tc>
      </w:tr>
      <w:tr>
        <w:tc>
          <w:tcPr>
            <w:tcW w:type="dxa" w:w="3312"/>
          </w:tcPr>
          <w:p>
            <w:pPr>
              <w:pStyle w:val="BodyText"/>
              <w:keepNext w:val="0"/>
              <w:spacing w:after="80" w:line="252" w:lineRule="auto"/>
              <w:jc w:val="left"/>
            </w:pPr>
            <w:r>
              <w:rPr>
                <w:rFonts w:ascii="Calibri" w:hAnsi="Calibri"/>
                <w:sz w:val="17"/>
              </w:rPr>
              <w:t xml:space="preserve">KD</w:t>
            </w:r>
          </w:p>
        </w:tc>
        <w:tc>
          <w:tcPr>
            <w:tcW w:type="dxa" w:w="3312"/>
          </w:tcPr>
          <w:p>
            <w:pPr>
              <w:pStyle w:val="BodyText"/>
              <w:keepNext w:val="0"/>
              <w:spacing w:after="80" w:line="252" w:lineRule="auto"/>
              <w:jc w:val="left"/>
            </w:pPr>
            <w:r>
              <w:rPr>
                <w:rFonts w:ascii="Calibri" w:hAnsi="Calibri"/>
                <w:sz w:val="17"/>
              </w:rPr>
              <w:t xml:space="preserve">An uncaused but composite deity. Simplicity does not follow from</w:t>
            </w:r>
            <w:r>
              <w:rPr>
                <w:rFonts w:ascii="Calibri" w:hAnsi="Calibri"/>
                <w:sz w:val="17"/>
              </w:rPr>
              <w:t xml:space="preserve"> </w:t>
            </w:r>
            <w:r>
              <w:rPr>
                <w:rFonts w:ascii="Calibri" w:hAnsi="Calibri"/>
                <w:sz w:val="17"/>
              </w:rPr>
              <w:t xml:space="preserve">“</w:t>
            </w:r>
            <w:r>
              <w:rPr>
                <w:rFonts w:ascii="Calibri" w:hAnsi="Calibri"/>
                <w:sz w:val="17"/>
              </w:rPr>
              <w:t xml:space="preserve">uncaused</w:t>
            </w:r>
            <w:r>
              <w:rPr>
                <w:rFonts w:ascii="Calibri" w:hAnsi="Calibri"/>
                <w:sz w:val="17"/>
              </w:rPr>
              <w:t xml:space="preserve">”</w:t>
            </w:r>
            <w:r>
              <w:rPr>
                <w:rFonts w:ascii="Calibri" w:hAnsi="Calibri"/>
                <w:sz w:val="17"/>
              </w:rPr>
              <w:t xml:space="preserve"> </w:t>
            </w:r>
            <w:r>
              <w:rPr>
                <w:rFonts w:ascii="Calibri" w:hAnsi="Calibri"/>
                <w:sz w:val="17"/>
              </w:rPr>
              <w:t xml:space="preserve">alone.</w:t>
            </w:r>
          </w:p>
        </w:tc>
        <w:tc>
          <w:tcPr>
            <w:tcW w:type="dxa" w:w="3312"/>
          </w:tcPr>
          <w:p>
            <w:pPr>
              <w:pStyle w:val="BodyText"/>
              <w:keepNext w:val="0"/>
              <w:spacing w:after="80" w:line="252" w:lineRule="auto"/>
              <w:jc w:val="left"/>
            </w:pPr>
            <w:r>
              <w:rPr>
                <w:rFonts w:ascii="Calibri" w:hAnsi="Calibri"/>
                <w:sz w:val="17"/>
              </w:rPr>
              <w:t xml:space="preserve">A composite source can simply be stipulated independent of its own intrinsic parts.</w:t>
            </w:r>
          </w:p>
        </w:tc>
      </w:tr>
      <w:tr>
        <w:tc>
          <w:tcPr>
            <w:tcW w:type="dxa" w:w="3312"/>
          </w:tcPr>
          <w:p>
            <w:pPr>
              <w:pStyle w:val="BodyText"/>
              <w:keepNext w:val="0"/>
              <w:spacing w:after="80" w:line="252" w:lineRule="auto"/>
              <w:jc w:val="left"/>
            </w:pPr>
            <w:r>
              <w:rPr>
                <w:rFonts w:ascii="Calibri" w:hAnsi="Calibri"/>
                <w:sz w:val="17"/>
              </w:rPr>
              <w:t xml:space="preserve">KH</w:t>
            </w:r>
          </w:p>
        </w:tc>
        <w:tc>
          <w:tcPr>
            <w:tcW w:type="dxa" w:w="3312"/>
          </w:tcPr>
          <w:p>
            <w:pPr>
              <w:pStyle w:val="BodyText"/>
              <w:keepNext w:val="0"/>
              <w:spacing w:after="80" w:line="252" w:lineRule="auto"/>
              <w:jc w:val="left"/>
            </w:pPr>
            <w:r>
              <w:rPr>
                <w:rFonts w:ascii="Calibri" w:hAnsi="Calibri"/>
                <w:sz w:val="17"/>
              </w:rPr>
              <w:t xml:space="preserve">A panentheistic constituent-model: the source belongs to the creature without transferring its unlimited capacity.</w:t>
            </w:r>
          </w:p>
        </w:tc>
        <w:tc>
          <w:tcPr>
            <w:tcW w:type="dxa" w:w="3312"/>
          </w:tcPr>
          <w:p>
            <w:pPr>
              <w:pStyle w:val="BodyText"/>
              <w:keepNext w:val="0"/>
              <w:spacing w:after="80" w:line="252" w:lineRule="auto"/>
              <w:jc w:val="left"/>
            </w:pPr>
            <w:r>
              <w:rPr>
                <w:rFonts w:ascii="Calibri" w:hAnsi="Calibri"/>
                <w:sz w:val="17"/>
              </w:rPr>
              <w:t xml:space="preserve">An unlimited source may be stipulated an intrinsic constituent of a finite creature.</w:t>
            </w:r>
          </w:p>
        </w:tc>
      </w:tr>
      <w:tr>
        <w:tc>
          <w:tcPr>
            <w:tcW w:type="dxa" w:w="3312"/>
          </w:tcPr>
          <w:p>
            <w:pPr>
              <w:pStyle w:val="BodyText"/>
              <w:keepNext w:val="0"/>
              <w:spacing w:after="80" w:line="252" w:lineRule="auto"/>
              <w:jc w:val="left"/>
            </w:pPr>
            <w:r>
              <w:rPr>
                <w:rFonts w:ascii="Calibri" w:hAnsi="Calibri"/>
                <w:sz w:val="17"/>
              </w:rPr>
              <w:t xml:space="preserve">FS</w:t>
            </w:r>
          </w:p>
        </w:tc>
        <w:tc>
          <w:tcPr>
            <w:tcW w:type="dxa" w:w="3312"/>
          </w:tcPr>
          <w:p>
            <w:pPr>
              <w:pStyle w:val="BodyText"/>
              <w:keepNext w:val="0"/>
              <w:spacing w:after="80" w:line="252" w:lineRule="auto"/>
              <w:jc w:val="left"/>
            </w:pPr>
            <w:r>
              <w:rPr>
                <w:rFonts w:ascii="Calibri" w:hAnsi="Calibri"/>
                <w:sz w:val="17"/>
              </w:rPr>
              <w:t xml:space="preserve">A finite ultimate artisan: underivation and noncomposition remain, but inexhaustibility does not.</w:t>
            </w:r>
          </w:p>
        </w:tc>
        <w:tc>
          <w:tcPr>
            <w:tcW w:type="dxa" w:w="3312"/>
          </w:tcPr>
          <w:p>
            <w:pPr>
              <w:pStyle w:val="BodyText"/>
              <w:keepNext w:val="0"/>
              <w:spacing w:after="80" w:line="252" w:lineRule="auto"/>
              <w:jc w:val="left"/>
            </w:pPr>
            <w:r>
              <w:rPr>
                <w:rFonts w:ascii="Calibri" w:hAnsi="Calibri"/>
                <w:sz w:val="17"/>
              </w:rPr>
              <w:t xml:space="preserve">An underived, simple, finite source is possible; some finite expression can match its measure.</w:t>
            </w:r>
          </w:p>
        </w:tc>
      </w:tr>
      <w:tr>
        <w:tc>
          <w:tcPr>
            <w:tcW w:type="dxa" w:w="3312"/>
          </w:tcPr>
          <w:p>
            <w:pPr>
              <w:pStyle w:val="BodyText"/>
              <w:keepNext w:val="0"/>
              <w:spacing w:after="80" w:line="252" w:lineRule="auto"/>
              <w:jc w:val="left"/>
            </w:pPr>
            <w:r>
              <w:rPr>
                <w:rFonts w:ascii="Calibri" w:hAnsi="Calibri"/>
                <w:sz w:val="17"/>
              </w:rPr>
              <w:t xml:space="preserve">FC</w:t>
            </w:r>
          </w:p>
        </w:tc>
        <w:tc>
          <w:tcPr>
            <w:tcW w:type="dxa" w:w="3312"/>
          </w:tcPr>
          <w:p>
            <w:pPr>
              <w:pStyle w:val="BodyText"/>
              <w:keepNext w:val="0"/>
              <w:spacing w:after="80" w:line="252" w:lineRule="auto"/>
              <w:jc w:val="left"/>
            </w:pPr>
            <w:r>
              <w:rPr>
                <w:rFonts w:ascii="Calibri" w:hAnsi="Calibri"/>
                <w:sz w:val="17"/>
              </w:rPr>
              <w:t xml:space="preserve">An unlimited derived effect that matches the source’s measure without becoming numerically identical.</w:t>
            </w:r>
          </w:p>
        </w:tc>
        <w:tc>
          <w:tcPr>
            <w:tcW w:type="dxa" w:w="3312"/>
          </w:tcPr>
          <w:p>
            <w:pPr>
              <w:pStyle w:val="BodyText"/>
              <w:keepNext w:val="0"/>
              <w:spacing w:after="80" w:line="252" w:lineRule="auto"/>
              <w:jc w:val="left"/>
            </w:pPr>
            <w:r>
              <w:rPr>
                <w:rFonts w:ascii="Calibri" w:hAnsi="Calibri"/>
                <w:sz w:val="17"/>
              </w:rPr>
              <w:t xml:space="preserve">An other can possess the source’s unlimited measure. Nonidentity survives, but finite non-exhaustion is lost.</w:t>
            </w:r>
          </w:p>
        </w:tc>
      </w:tr>
      <w:tr>
        <w:tc>
          <w:tcPr>
            <w:tcW w:type="dxa" w:w="3312"/>
          </w:tcPr>
          <w:p>
            <w:pPr>
              <w:pStyle w:val="BodyText"/>
              <w:keepNext w:val="0"/>
              <w:spacing w:after="80" w:line="252" w:lineRule="auto"/>
              <w:jc w:val="left"/>
            </w:pPr>
            <w:r>
              <w:rPr>
                <w:rFonts w:ascii="Calibri" w:hAnsi="Calibri"/>
                <w:sz w:val="17"/>
              </w:rPr>
              <w:t xml:space="preserve">X</w:t>
            </w:r>
          </w:p>
        </w:tc>
        <w:tc>
          <w:tcPr>
            <w:tcW w:type="dxa" w:w="3312"/>
          </w:tcPr>
          <w:p>
            <w:pPr>
              <w:pStyle w:val="BodyText"/>
              <w:keepNext w:val="0"/>
              <w:spacing w:after="80" w:line="252" w:lineRule="auto"/>
              <w:jc w:val="left"/>
            </w:pPr>
            <w:r>
              <w:rPr>
                <w:rFonts w:ascii="Calibri" w:hAnsi="Calibri"/>
                <w:sz w:val="17"/>
              </w:rPr>
              <w:t xml:space="preserve">An intrinsically responsive deity. Independence within each possible world does not establish the same intrinsic actuality across different possible worlds.</w:t>
            </w:r>
          </w:p>
        </w:tc>
        <w:tc>
          <w:tcPr>
            <w:tcW w:type="dxa" w:w="3312"/>
          </w:tcPr>
          <w:p>
            <w:pPr>
              <w:pStyle w:val="BodyText"/>
              <w:keepNext w:val="0"/>
              <w:spacing w:after="80" w:line="252" w:lineRule="auto"/>
              <w:jc w:val="left"/>
            </w:pPr>
            <w:r>
              <w:rPr>
                <w:rFonts w:ascii="Calibri" w:hAnsi="Calibri"/>
                <w:sz w:val="17"/>
              </w:rPr>
              <w:t xml:space="preserve">Different created histories may be correlated with different intrinsic states of the source, without those effects grounding the source’s actuality within either possible world.</w:t>
            </w:r>
          </w:p>
        </w:tc>
      </w:tr>
    </w:tbl>
    <w:p>
      <w:pPr>
        <w:pStyle w:val="BodyText"/>
      </w:pPr>
      <w:r>
        <w:t xml:space="preserve">The formal dossier supplies actual sparse valuations for all nine clauses. The accompanying evaluator independently interprets H, C, D, K, modes, and the source profile; it checks every retained clause rather than storing axiom truth flags. These are model-relative independence witnesses, not proofs that rival universes satisfy every defensible metaphysical principle.</w:t>
      </w:r>
    </w:p>
    <w:p>
      <w:pPr>
        <w:pStyle w:val="BodyText"/>
      </w:pPr>
      <w:r>
        <w:t xml:space="preserve">Primitive deletion tests are information-loss tests: without C, productive causality is indistinguishable from other grounding; without D, the grounding consequence is unrepresented; without H, causal graphs determine no qualitative resemblance; without K, nonconstituency is inexpressible; without intrinsic profile comparison, X is lost; without mode information, finite/infinite distinctions are lost. A was genuinely eliminated. No theorem of undefinability across every possible vocabulary is claimed.</w:t>
      </w:r>
    </w:p>
    <w:bookmarkEnd w:id="161"/>
    <w:bookmarkStart w:id="162" w:name="rival-ontologies-and-modal-test"/>
    <w:p>
      <w:pPr>
        <w:pStyle w:val="Heading3"/>
      </w:pPr>
      <w:r>
        <w:t xml:space="preserve">6. Rival ontologies and modal test</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Rival</w:t>
            </w:r>
          </w:p>
        </w:tc>
        <w:tc>
          <w:tcPr>
            <w:tcW w:type="dxa" w:w="7452"/>
            <w:shd w:fill="EAE5DA"/>
          </w:tcPr>
          <w:p>
            <w:pPr>
              <w:pStyle w:val="BodyText"/>
              <w:keepNext w:val="0"/>
              <w:spacing w:after="80" w:line="252" w:lineRule="auto"/>
              <w:jc w:val="left"/>
            </w:pPr>
            <w:r>
              <w:rPr>
                <w:rFonts w:ascii="Calibri" w:hAnsi="Calibri"/>
                <w:b/>
                <w:sz w:val="17"/>
              </w:rPr>
              <w:t xml:space="preserve">What discriminates it</w:t>
            </w:r>
          </w:p>
        </w:tc>
      </w:tr>
      <w:tr>
        <w:tc>
          <w:tcPr>
            <w:tcW w:type="dxa" w:w="2484"/>
          </w:tcPr>
          <w:p>
            <w:pPr>
              <w:pStyle w:val="BodyText"/>
              <w:keepNext w:val="0"/>
              <w:spacing w:after="80" w:line="252" w:lineRule="auto"/>
              <w:jc w:val="left"/>
            </w:pPr>
            <w:r>
              <w:rPr>
                <w:rFonts w:ascii="Calibri" w:hAnsi="Calibri"/>
                <w:sz w:val="17"/>
              </w:rPr>
              <w:t xml:space="preserve">Platonism</w:t>
            </w:r>
          </w:p>
        </w:tc>
        <w:tc>
          <w:tcPr>
            <w:tcW w:type="dxa" w:w="7452"/>
          </w:tcPr>
          <w:p>
            <w:pPr>
              <w:pStyle w:val="BodyText"/>
              <w:keepNext w:val="0"/>
              <w:spacing w:after="80" w:line="252" w:lineRule="auto"/>
              <w:jc w:val="left"/>
            </w:pPr>
            <w:r>
              <w:rPr>
                <w:rFonts w:ascii="Calibri" w:hAnsi="Calibri"/>
                <w:sz w:val="17"/>
              </w:rPr>
              <w:t xml:space="preserve">Underived actual productive Forms in scope violate G + CP. Inert abstracta remain open; the explanation does not need them.</w:t>
            </w:r>
          </w:p>
        </w:tc>
      </w:tr>
      <w:tr>
        <w:tc>
          <w:tcPr>
            <w:tcW w:type="dxa" w:w="2484"/>
          </w:tcPr>
          <w:p>
            <w:pPr>
              <w:pStyle w:val="BodyText"/>
              <w:keepNext w:val="0"/>
              <w:spacing w:after="80" w:line="252" w:lineRule="auto"/>
              <w:jc w:val="left"/>
            </w:pPr>
            <w:r>
              <w:rPr>
                <w:rFonts w:ascii="Calibri" w:hAnsi="Calibri"/>
                <w:sz w:val="17"/>
              </w:rPr>
              <w:t xml:space="preserve">Identity-pantheism</w:t>
            </w:r>
          </w:p>
        </w:tc>
        <w:tc>
          <w:tcPr>
            <w:tcW w:type="dxa" w:w="7452"/>
          </w:tcPr>
          <w:p>
            <w:pPr>
              <w:pStyle w:val="BodyText"/>
              <w:keepNext w:val="0"/>
              <w:spacing w:after="80" w:line="252" w:lineRule="auto"/>
              <w:jc w:val="left"/>
            </w:pPr>
            <w:r>
              <w:rPr>
                <w:rFonts w:ascii="Calibri" w:hAnsi="Calibri"/>
                <w:sz w:val="17"/>
              </w:rPr>
              <w:t xml:space="preserve">CP + U exclude source-caused effects identical with their source. Mode-based substance theories require further inherence analysis.</w:t>
            </w:r>
          </w:p>
        </w:tc>
      </w:tr>
      <w:tr>
        <w:tc>
          <w:tcPr>
            <w:tcW w:type="dxa" w:w="2484"/>
          </w:tcPr>
          <w:p>
            <w:pPr>
              <w:pStyle w:val="BodyText"/>
              <w:keepNext w:val="0"/>
              <w:spacing w:after="80" w:line="252" w:lineRule="auto"/>
              <w:jc w:val="left"/>
            </w:pPr>
            <w:r>
              <w:rPr>
                <w:rFonts w:ascii="Calibri" w:hAnsi="Calibri"/>
                <w:sz w:val="17"/>
              </w:rPr>
              <w:t xml:space="preserve">Constituent panentheism</w:t>
            </w:r>
          </w:p>
        </w:tc>
        <w:tc>
          <w:tcPr>
            <w:tcW w:type="dxa" w:w="7452"/>
          </w:tcPr>
          <w:p>
            <w:pPr>
              <w:pStyle w:val="BodyText"/>
              <w:keepNext w:val="0"/>
              <w:spacing w:after="80" w:line="252" w:lineRule="auto"/>
              <w:jc w:val="left"/>
            </w:pPr>
            <w:r>
              <w:rPr>
                <w:rFonts w:ascii="Calibri" w:hAnsi="Calibri"/>
                <w:sz w:val="17"/>
              </w:rPr>
              <w:t xml:space="preserve">KD + U and KH + FS + FC exclude proper mutual incorporation. Other meanings of</w:t>
            </w:r>
            <w:r>
              <w:rPr>
                <w:rFonts w:ascii="Calibri" w:hAnsi="Calibri"/>
                <w:sz w:val="17"/>
              </w:rPr>
              <w:t xml:space="preserve"> </w:t>
            </w:r>
            <w:r>
              <w:rPr>
                <w:rFonts w:ascii="Calibri" w:hAnsi="Calibri"/>
                <w:sz w:val="17"/>
              </w:rPr>
              <w:t xml:space="preserve">“</w:t>
            </w:r>
            <w:r>
              <w:rPr>
                <w:rFonts w:ascii="Calibri" w:hAnsi="Calibri"/>
                <w:sz w:val="17"/>
              </w:rPr>
              <w:t xml:space="preserve">in God</w:t>
            </w:r>
            <w:r>
              <w:rPr>
                <w:rFonts w:ascii="Calibri" w:hAnsi="Calibri"/>
                <w:sz w:val="17"/>
              </w:rPr>
              <w:t xml:space="preserve">”</w:t>
            </w:r>
            <w:r>
              <w:rPr>
                <w:rFonts w:ascii="Calibri" w:hAnsi="Calibri"/>
                <w:sz w:val="17"/>
              </w:rPr>
              <w:t xml:space="preserve"> </w:t>
            </w:r>
            <w:r>
              <w:rPr>
                <w:rFonts w:ascii="Calibri" w:hAnsi="Calibri"/>
                <w:sz w:val="17"/>
              </w:rPr>
              <w:t xml:space="preserve">are not settled by the label.</w:t>
            </w:r>
          </w:p>
        </w:tc>
      </w:tr>
      <w:tr>
        <w:tc>
          <w:tcPr>
            <w:tcW w:type="dxa" w:w="2484"/>
          </w:tcPr>
          <w:p>
            <w:pPr>
              <w:pStyle w:val="BodyText"/>
              <w:keepNext w:val="0"/>
              <w:spacing w:after="80" w:line="252" w:lineRule="auto"/>
              <w:jc w:val="left"/>
            </w:pPr>
            <w:r>
              <w:rPr>
                <w:rFonts w:ascii="Calibri" w:hAnsi="Calibri"/>
                <w:sz w:val="17"/>
              </w:rPr>
              <w:t xml:space="preserve">Occasionalism</w:t>
            </w:r>
          </w:p>
        </w:tc>
        <w:tc>
          <w:tcPr>
            <w:tcW w:type="dxa" w:w="7452"/>
          </w:tcPr>
          <w:p>
            <w:pPr>
              <w:pStyle w:val="BodyText"/>
              <w:keepNext w:val="0"/>
              <w:spacing w:after="80" w:line="252" w:lineRule="auto"/>
              <w:jc w:val="left"/>
            </w:pPr>
            <w:r>
              <w:rPr>
                <w:rFonts w:ascii="Calibri" w:hAnsi="Calibri"/>
                <w:sz w:val="17"/>
              </w:rPr>
              <w:t xml:space="preserve">Compatible. Add actual secondary powers and ordered concurrence to establish creaturely agency.</w:t>
            </w:r>
          </w:p>
        </w:tc>
      </w:tr>
      <w:tr>
        <w:tc>
          <w:tcPr>
            <w:tcW w:type="dxa" w:w="2484"/>
          </w:tcPr>
          <w:p>
            <w:pPr>
              <w:pStyle w:val="BodyText"/>
              <w:keepNext w:val="0"/>
              <w:spacing w:after="80" w:line="252" w:lineRule="auto"/>
              <w:jc w:val="left"/>
            </w:pPr>
            <w:r>
              <w:rPr>
                <w:rFonts w:ascii="Calibri" w:hAnsi="Calibri"/>
                <w:sz w:val="17"/>
              </w:rPr>
              <w:t xml:space="preserve">Necessary emanation</w:t>
            </w:r>
          </w:p>
        </w:tc>
        <w:tc>
          <w:tcPr>
            <w:tcW w:type="dxa" w:w="7452"/>
          </w:tcPr>
          <w:p>
            <w:pPr>
              <w:pStyle w:val="BodyText"/>
              <w:keepNext w:val="0"/>
              <w:spacing w:after="80" w:line="252" w:lineRule="auto"/>
              <w:jc w:val="left"/>
            </w:pPr>
            <w:r>
              <w:rPr>
                <w:rFonts w:ascii="Calibri" w:hAnsi="Calibri"/>
                <w:sz w:val="17"/>
              </w:rPr>
              <w:t xml:space="preserve">Compatible. An unlimited source may necessitate a finite non-exhaustive effect. Alternatives are extra.</w:t>
            </w:r>
          </w:p>
        </w:tc>
      </w:tr>
      <w:tr>
        <w:tc>
          <w:tcPr>
            <w:tcW w:type="dxa" w:w="2484"/>
          </w:tcPr>
          <w:p>
            <w:pPr>
              <w:pStyle w:val="BodyText"/>
              <w:keepNext w:val="0"/>
              <w:spacing w:after="80" w:line="252" w:lineRule="auto"/>
              <w:jc w:val="left"/>
            </w:pPr>
            <w:r>
              <w:rPr>
                <w:rFonts w:ascii="Calibri" w:hAnsi="Calibri"/>
                <w:sz w:val="17"/>
              </w:rPr>
              <w:t xml:space="preserve">Deism</w:t>
            </w:r>
          </w:p>
        </w:tc>
        <w:tc>
          <w:tcPr>
            <w:tcW w:type="dxa" w:w="7452"/>
          </w:tcPr>
          <w:p>
            <w:pPr>
              <w:pStyle w:val="BodyText"/>
              <w:keepNext w:val="0"/>
              <w:spacing w:after="80" w:line="252" w:lineRule="auto"/>
              <w:jc w:val="left"/>
            </w:pPr>
            <w:r>
              <w:rPr>
                <w:rFonts w:ascii="Calibri" w:hAnsi="Calibri"/>
                <w:sz w:val="17"/>
              </w:rPr>
              <w:t xml:space="preserve">G, interpreted as present existential sustenance, excludes detached effects. Historical production alone is insufficient.</w:t>
            </w:r>
          </w:p>
        </w:tc>
      </w:tr>
      <w:tr>
        <w:tc>
          <w:tcPr>
            <w:tcW w:type="dxa" w:w="2484"/>
          </w:tcPr>
          <w:p>
            <w:pPr>
              <w:pStyle w:val="BodyText"/>
              <w:keepNext w:val="0"/>
              <w:spacing w:after="80" w:line="252" w:lineRule="auto"/>
              <w:jc w:val="left"/>
            </w:pPr>
            <w:r>
              <w:rPr>
                <w:rFonts w:ascii="Calibri" w:hAnsi="Calibri"/>
                <w:sz w:val="17"/>
              </w:rPr>
              <w:t xml:space="preserve">Absolute idealism</w:t>
            </w:r>
          </w:p>
        </w:tc>
        <w:tc>
          <w:tcPr>
            <w:tcW w:type="dxa" w:w="7452"/>
          </w:tcPr>
          <w:p>
            <w:pPr>
              <w:pStyle w:val="BodyText"/>
              <w:keepNext w:val="0"/>
              <w:spacing w:after="80" w:line="252" w:lineRule="auto"/>
              <w:jc w:val="left"/>
            </w:pPr>
            <w:r>
              <w:rPr>
                <w:rFonts w:ascii="Calibri" w:hAnsi="Calibri"/>
                <w:sz w:val="17"/>
              </w:rPr>
              <w:t xml:space="preserve">Identity versions fail; genuinely other mental effects are not excluded without additional ontology.</w:t>
            </w:r>
          </w:p>
        </w:tc>
      </w:tr>
      <w:tr>
        <w:tc>
          <w:tcPr>
            <w:tcW w:type="dxa" w:w="2484"/>
          </w:tcPr>
          <w:p>
            <w:pPr>
              <w:pStyle w:val="BodyText"/>
              <w:keepNext w:val="0"/>
              <w:spacing w:after="80" w:line="252" w:lineRule="auto"/>
              <w:jc w:val="left"/>
            </w:pPr>
            <w:r>
              <w:rPr>
                <w:rFonts w:ascii="Calibri" w:hAnsi="Calibri"/>
                <w:sz w:val="17"/>
              </w:rPr>
              <w:t xml:space="preserve">Immanent causality</w:t>
            </w:r>
          </w:p>
        </w:tc>
        <w:tc>
          <w:tcPr>
            <w:tcW w:type="dxa" w:w="7452"/>
          </w:tcPr>
          <w:p>
            <w:pPr>
              <w:pStyle w:val="BodyText"/>
              <w:keepNext w:val="0"/>
              <w:spacing w:after="80" w:line="252" w:lineRule="auto"/>
              <w:jc w:val="left"/>
            </w:pPr>
            <w:r>
              <w:rPr>
                <w:rFonts w:ascii="Calibri" w:hAnsi="Calibri"/>
                <w:sz w:val="17"/>
              </w:rPr>
              <w:t xml:space="preserve">Fits generic causal grammar. The substantive underived/unbounded source profile provides the theological discrimination.</w:t>
            </w:r>
          </w:p>
        </w:tc>
      </w:tr>
    </w:tbl>
    <w:p>
      <w:pPr>
        <w:pStyle w:val="BodyText"/>
      </w:pPr>
      <w:r>
        <w:t xml:space="preserve">Non-exhaustion supplies a negative opening: no finite effect necessitates creation by adequately measuring or completing unlimited fullness. It does not exclude other necessitating rules. To derive contingency of each finite expression, require an accessible same-fullness world lacking that expression; a no-creation world is a stronger sufficient premise. Two merely different created worlds can share a necessary effect a. The evaluator includes exactly this counterexample.</w:t>
      </w:r>
    </w:p>
    <w:p>
      <w:pPr>
        <w:pStyle w:val="BodyText"/>
      </w:pPr>
      <w:r>
        <w:t xml:space="preserve">Intentional freedom additionally requires intelligent self-determination without necessity from intrinsic nature, external dependence, lack, or a unique-maximization rule. Intentionality alone does not imply libertarian freedom; modal alternatives alone could be stochastic. This is an extension, not a proof from infinity. Distinguishing God’s intrinsic actuality from differences in what God wills is a proposed account of divine agency. It still needs to explain why creation is free and what makes a particular act of willing real.</w:t>
      </w:r>
    </w:p>
    <w:bookmarkEnd w:id="162"/>
    <w:bookmarkStart w:id="163" w:name="philosophy-and-christian-commitments"/>
    <w:p>
      <w:pPr>
        <w:pStyle w:val="Heading3"/>
      </w:pPr>
      <w:r>
        <w:t xml:space="preserve">7. Philosophy and Christian commitments</w:t>
      </w:r>
    </w:p>
    <w:p>
      <w:pPr>
        <w:pStyle w:val="FirstParagraph"/>
      </w:pPr>
      <w:r>
        <w:t xml:space="preserve">The philosophical reconstruction establishes conditional consequences, not revealed doctrine. Christian interpretation supplies or constrains Creator–creature distinction, ex nihilo, divine nondependence, real finite goodness, transcendence, real divine causality, and intelligent free creation. Ex nihilo means no uncreated material co-source or divine material; it need not entail a temporal beginning. Universal present dependence is not by itself a complete explanation of production without material.</w:t>
      </w:r>
    </w:p>
    <w:p>
      <w:pPr>
        <w:pStyle w:val="BodyText"/>
      </w:pPr>
      <w:r>
        <w:t xml:space="preserve">The tradition’s explanatory models include essence–esse, act/potency, divine ideas, logoi, formalities, essence–energies, analogy, and mixed relations. Their differences are not uniformly dogmatic and can genuinely conflict. Actual secondary causality must be added: C(g,a,q) and C(b,a,q) can coexist without source–creature rivalry. Compatibility alone does not prove that the secondary cause operates.</w:t>
      </w:r>
    </w:p>
    <w:bookmarkEnd w:id="163"/>
    <w:bookmarkStart w:id="164" w:name="historical-genealogy"/>
    <w:p>
      <w:pPr>
        <w:pStyle w:val="Heading3"/>
      </w:pPr>
      <w:r>
        <w:t xml:space="preserve">8. Historical genealogy</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Witness / locus</w:t>
            </w:r>
          </w:p>
        </w:tc>
        <w:tc>
          <w:tcPr>
            <w:tcW w:type="dxa" w:w="3312"/>
            <w:shd w:fill="EAE5DA"/>
          </w:tcPr>
          <w:p>
            <w:pPr>
              <w:pStyle w:val="BodyText"/>
              <w:keepNext w:val="0"/>
              <w:spacing w:after="80" w:line="252" w:lineRule="auto"/>
              <w:jc w:val="left"/>
            </w:pPr>
            <w:r>
              <w:rPr>
                <w:rFonts w:ascii="Calibri" w:hAnsi="Calibri"/>
                <w:b/>
                <w:sz w:val="17"/>
              </w:rPr>
              <w:t xml:space="preserve">Contribution</w:t>
            </w:r>
          </w:p>
        </w:tc>
        <w:tc>
          <w:tcPr>
            <w:tcW w:type="dxa" w:w="3312"/>
            <w:shd w:fill="EAE5DA"/>
          </w:tcPr>
          <w:p>
            <w:pPr>
              <w:pStyle w:val="BodyText"/>
              <w:keepNext w:val="0"/>
              <w:spacing w:after="80" w:line="252" w:lineRule="auto"/>
              <w:jc w:val="left"/>
            </w:pPr>
            <w:r>
              <w:rPr>
                <w:rFonts w:ascii="Calibri" w:hAnsi="Calibri"/>
                <w:b/>
                <w:sz w:val="17"/>
              </w:rPr>
              <w:t xml:space="preserve">Unresolved difference</w:t>
            </w:r>
          </w:p>
        </w:tc>
      </w:tr>
      <w:tr>
        <w:tc>
          <w:tcPr>
            <w:tcW w:type="dxa" w:w="3312"/>
          </w:tcPr>
          <w:p>
            <w:pPr>
              <w:pStyle w:val="BodyText"/>
              <w:keepNext w:val="0"/>
              <w:spacing w:after="80" w:line="252" w:lineRule="auto"/>
              <w:jc w:val="left"/>
            </w:pPr>
            <w:r>
              <w:rPr>
                <w:rFonts w:ascii="Calibri" w:hAnsi="Calibri"/>
                <w:sz w:val="17"/>
              </w:rPr>
              <w:t xml:space="preserve">Plato &amp; Aristotle — Parmenides 130e–131e; Timaeus 28a–29b; Metaphysics Λ.7, 1072b</w:t>
            </w:r>
          </w:p>
        </w:tc>
        <w:tc>
          <w:tcPr>
            <w:tcW w:type="dxa" w:w="3312"/>
          </w:tcPr>
          <w:p>
            <w:pPr>
              <w:pStyle w:val="BodyText"/>
              <w:keepNext w:val="0"/>
              <w:spacing w:after="80" w:line="252" w:lineRule="auto"/>
              <w:jc w:val="left"/>
            </w:pPr>
            <w:r>
              <w:rPr>
                <w:rFonts w:ascii="Calibri" w:hAnsi="Calibri"/>
                <w:sz w:val="17"/>
              </w:rPr>
              <w:t xml:space="preserve">The whole/part problem makes</w:t>
            </w:r>
            <w:r>
              <w:rPr>
                <w:rFonts w:ascii="Calibri" w:hAnsi="Calibri"/>
                <w:sz w:val="17"/>
              </w:rPr>
              <w:t xml:space="preserve"> </w:t>
            </w:r>
            <w:r>
              <w:rPr>
                <w:rFonts w:ascii="Calibri" w:hAnsi="Calibri"/>
                <w:sz w:val="17"/>
              </w:rPr>
              <w:t xml:space="preserve">“</w:t>
            </w:r>
            <w:r>
              <w:rPr>
                <w:rFonts w:ascii="Calibri" w:hAnsi="Calibri"/>
                <w:sz w:val="17"/>
              </w:rPr>
              <w:t xml:space="preserve">sharing</w:t>
            </w:r>
            <w:r>
              <w:rPr>
                <w:rFonts w:ascii="Calibri" w:hAnsi="Calibri"/>
                <w:sz w:val="17"/>
              </w:rPr>
              <w:t xml:space="preserve">”</w:t>
            </w:r>
            <w:r>
              <w:rPr>
                <w:rFonts w:ascii="Calibri" w:hAnsi="Calibri"/>
                <w:sz w:val="17"/>
              </w:rPr>
              <w:t xml:space="preserve"> </w:t>
            </w:r>
            <w:r>
              <w:rPr>
                <w:rFonts w:ascii="Calibri" w:hAnsi="Calibri"/>
                <w:sz w:val="17"/>
              </w:rPr>
              <w:t xml:space="preserve">dangerous; exemplarity and different causal orders make it intelligible.</w:t>
            </w:r>
          </w:p>
        </w:tc>
        <w:tc>
          <w:tcPr>
            <w:tcW w:type="dxa" w:w="3312"/>
          </w:tcPr>
          <w:p>
            <w:pPr>
              <w:pStyle w:val="BodyText"/>
              <w:keepNext w:val="0"/>
              <w:spacing w:after="80" w:line="252" w:lineRule="auto"/>
              <w:jc w:val="left"/>
            </w:pPr>
            <w:r>
              <w:rPr>
                <w:rFonts w:ascii="Calibri" w:hAnsi="Calibri"/>
                <w:sz w:val="17"/>
              </w:rPr>
              <w:t xml:space="preserve">Aristotelian causal priority does not itself deliver Christian ex nihilo or universal sustaining causality.</w:t>
            </w:r>
          </w:p>
        </w:tc>
      </w:tr>
      <w:tr>
        <w:tc>
          <w:tcPr>
            <w:tcW w:type="dxa" w:w="3312"/>
          </w:tcPr>
          <w:p>
            <w:pPr>
              <w:pStyle w:val="BodyText"/>
              <w:keepNext w:val="0"/>
              <w:spacing w:after="80" w:line="252" w:lineRule="auto"/>
              <w:jc w:val="left"/>
            </w:pPr>
            <w:r>
              <w:rPr>
                <w:rFonts w:ascii="Calibri" w:hAnsi="Calibri"/>
                <w:sz w:val="17"/>
              </w:rPr>
              <w:t xml:space="preserve">Plotinus &amp; Proclus — Enneads V.2.1; VI.9.3; Elements of Theology props. 23, 26–30</w:t>
            </w:r>
          </w:p>
        </w:tc>
        <w:tc>
          <w:tcPr>
            <w:tcW w:type="dxa" w:w="3312"/>
          </w:tcPr>
          <w:p>
            <w:pPr>
              <w:pStyle w:val="BodyText"/>
              <w:keepNext w:val="0"/>
              <w:spacing w:after="80" w:line="252" w:lineRule="auto"/>
              <w:jc w:val="left"/>
            </w:pPr>
            <w:r>
              <w:rPr>
                <w:rFonts w:ascii="Calibri" w:hAnsi="Calibri"/>
                <w:sz w:val="17"/>
              </w:rPr>
              <w:t xml:space="preserve">One source, undivided presence, procession and return offer resources for nonpartition and causal excess.</w:t>
            </w:r>
          </w:p>
        </w:tc>
        <w:tc>
          <w:tcPr>
            <w:tcW w:type="dxa" w:w="3312"/>
          </w:tcPr>
          <w:p>
            <w:pPr>
              <w:pStyle w:val="BodyText"/>
              <w:keepNext w:val="0"/>
              <w:spacing w:after="80" w:line="252" w:lineRule="auto"/>
              <w:jc w:val="left"/>
            </w:pPr>
            <w:r>
              <w:rPr>
                <w:rFonts w:ascii="Calibri" w:hAnsi="Calibri"/>
                <w:sz w:val="17"/>
              </w:rPr>
              <w:t xml:space="preserve">Necessary procession is a live rival to free creation. Similar vocabulary cannot erase this modal difference.</w:t>
            </w:r>
          </w:p>
        </w:tc>
      </w:tr>
      <w:tr>
        <w:tc>
          <w:tcPr>
            <w:tcW w:type="dxa" w:w="3312"/>
          </w:tcPr>
          <w:p>
            <w:pPr>
              <w:pStyle w:val="BodyText"/>
              <w:keepNext w:val="0"/>
              <w:spacing w:after="80" w:line="252" w:lineRule="auto"/>
              <w:jc w:val="left"/>
            </w:pPr>
            <w:r>
              <w:rPr>
                <w:rFonts w:ascii="Calibri" w:hAnsi="Calibri"/>
                <w:sz w:val="17"/>
              </w:rPr>
              <w:t xml:space="preserve">Gregory of Nyssa &amp; Augustine — Life of Moses II.230–239; City of God XI.10; De diversis quaestionibus 83, q.46</w:t>
            </w:r>
          </w:p>
        </w:tc>
        <w:tc>
          <w:tcPr>
            <w:tcW w:type="dxa" w:w="3312"/>
          </w:tcPr>
          <w:p>
            <w:pPr>
              <w:pStyle w:val="BodyText"/>
              <w:keepNext w:val="0"/>
              <w:spacing w:after="80" w:line="252" w:lineRule="auto"/>
              <w:jc w:val="left"/>
            </w:pPr>
            <w:r>
              <w:rPr>
                <w:rFonts w:ascii="Calibri" w:hAnsi="Calibri"/>
                <w:sz w:val="17"/>
              </w:rPr>
              <w:t xml:space="preserve">Nyssen inexhaustible participation and Augustine’s non-acquired wisdom distinguish received finite perfection from source actuality.</w:t>
            </w:r>
          </w:p>
        </w:tc>
        <w:tc>
          <w:tcPr>
            <w:tcW w:type="dxa" w:w="3312"/>
          </w:tcPr>
          <w:p>
            <w:pPr>
              <w:pStyle w:val="BodyText"/>
              <w:keepNext w:val="0"/>
              <w:spacing w:after="80" w:line="252" w:lineRule="auto"/>
              <w:jc w:val="left"/>
            </w:pPr>
            <w:r>
              <w:rPr>
                <w:rFonts w:ascii="Calibri" w:hAnsi="Calibri"/>
                <w:sz w:val="17"/>
              </w:rPr>
              <w:t xml:space="preserve">Epektasis does not become a proof of divine infinity by being renamed</w:t>
            </w:r>
            <w:r>
              <w:rPr>
                <w:rFonts w:ascii="Calibri" w:hAnsi="Calibri"/>
                <w:sz w:val="17"/>
              </w:rPr>
              <w:t xml:space="preserve"> </w:t>
            </w:r>
            <w:r>
              <w:rPr>
                <w:rFonts w:ascii="Calibri" w:hAnsi="Calibri"/>
                <w:sz w:val="17"/>
              </w:rPr>
              <w:t xml:space="preserve">“</w:t>
            </w:r>
            <w:r>
              <w:rPr>
                <w:rFonts w:ascii="Calibri" w:hAnsi="Calibri"/>
                <w:sz w:val="17"/>
              </w:rPr>
              <w:t xml:space="preserve">non-exhaustion.</w:t>
            </w:r>
            <w:r>
              <w:rPr>
                <w:rFonts w:ascii="Calibri" w:hAnsi="Calibri"/>
                <w:sz w:val="17"/>
              </w:rPr>
              <w:t xml:space="preserve">”</w:t>
            </w:r>
            <w:r>
              <w:rPr>
                <w:rFonts w:ascii="Calibri" w:hAnsi="Calibri"/>
                <w:sz w:val="17"/>
              </w:rPr>
              <w:t xml:space="preserve"> </w:t>
            </w:r>
            <w:r>
              <w:rPr>
                <w:rFonts w:ascii="Calibri" w:hAnsi="Calibri"/>
                <w:sz w:val="17"/>
              </w:rPr>
              <w:t xml:space="preserve">Augustine’s divine ideas are not independent substances.</w:t>
            </w:r>
          </w:p>
        </w:tc>
      </w:tr>
      <w:tr>
        <w:tc>
          <w:tcPr>
            <w:tcW w:type="dxa" w:w="3312"/>
          </w:tcPr>
          <w:p>
            <w:pPr>
              <w:pStyle w:val="BodyText"/>
              <w:keepNext w:val="0"/>
              <w:spacing w:after="80" w:line="252" w:lineRule="auto"/>
              <w:jc w:val="left"/>
            </w:pPr>
            <w:r>
              <w:rPr>
                <w:rFonts w:ascii="Calibri" w:hAnsi="Calibri"/>
                <w:sz w:val="17"/>
              </w:rPr>
              <w:t xml:space="preserve">Dionysius &amp; Maximus — Divine Names II.5, V.8, IX.6; Ambiguum 7, PG 91, 1080A–1085B</w:t>
            </w:r>
          </w:p>
        </w:tc>
        <w:tc>
          <w:tcPr>
            <w:tcW w:type="dxa" w:w="3312"/>
          </w:tcPr>
          <w:p>
            <w:pPr>
              <w:pStyle w:val="BodyText"/>
              <w:keepNext w:val="0"/>
              <w:spacing w:after="80" w:line="252" w:lineRule="auto"/>
              <w:jc w:val="left"/>
            </w:pPr>
            <w:r>
              <w:rPr>
                <w:rFonts w:ascii="Calibri" w:hAnsi="Calibri"/>
                <w:sz w:val="17"/>
              </w:rPr>
              <w:t xml:space="preserve">Effects can truly exhibit causal likeness without reproducing the source’s mode. Logoi distinguish intelligible reasons from contingent realization.</w:t>
            </w:r>
          </w:p>
        </w:tc>
        <w:tc>
          <w:tcPr>
            <w:tcW w:type="dxa" w:w="3312"/>
          </w:tcPr>
          <w:p>
            <w:pPr>
              <w:pStyle w:val="BodyText"/>
              <w:keepNext w:val="0"/>
              <w:spacing w:after="80" w:line="252" w:lineRule="auto"/>
              <w:jc w:val="left"/>
            </w:pPr>
            <w:r>
              <w:rPr>
                <w:rFonts w:ascii="Calibri" w:hAnsi="Calibri"/>
                <w:sz w:val="17"/>
              </w:rPr>
              <w:t xml:space="preserve">Dionysian procession is not automatically necessitarian. Maximus’s willing logoi are not a many-part divine interior.</w:t>
            </w:r>
          </w:p>
        </w:tc>
      </w:tr>
      <w:tr>
        <w:tc>
          <w:tcPr>
            <w:tcW w:type="dxa" w:w="3312"/>
          </w:tcPr>
          <w:p>
            <w:pPr>
              <w:pStyle w:val="BodyText"/>
              <w:keepNext w:val="0"/>
              <w:spacing w:after="80" w:line="252" w:lineRule="auto"/>
              <w:jc w:val="left"/>
            </w:pPr>
            <w:r>
              <w:rPr>
                <w:rFonts w:ascii="Calibri" w:hAnsi="Calibri"/>
                <w:sz w:val="17"/>
              </w:rPr>
              <w:t xml:space="preserve">Eriugena &amp; Cusa — Periphyseon I.446D, I.455B; De docta ignorantia I.2, II.3</w:t>
            </w:r>
          </w:p>
        </w:tc>
        <w:tc>
          <w:tcPr>
            <w:tcW w:type="dxa" w:w="3312"/>
          </w:tcPr>
          <w:p>
            <w:pPr>
              <w:pStyle w:val="BodyText"/>
              <w:keepNext w:val="0"/>
              <w:spacing w:after="80" w:line="252" w:lineRule="auto"/>
              <w:jc w:val="left"/>
            </w:pPr>
            <w:r>
              <w:rPr>
                <w:rFonts w:ascii="Calibri" w:hAnsi="Calibri"/>
                <w:sz w:val="17"/>
              </w:rPr>
              <w:t xml:space="preserve">Manifestation and enfolding explain why source transcendence need not be remoteness.</w:t>
            </w:r>
          </w:p>
        </w:tc>
        <w:tc>
          <w:tcPr>
            <w:tcW w:type="dxa" w:w="3312"/>
          </w:tcPr>
          <w:p>
            <w:pPr>
              <w:pStyle w:val="BodyText"/>
              <w:keepNext w:val="0"/>
              <w:spacing w:after="80" w:line="252" w:lineRule="auto"/>
              <w:jc w:val="left"/>
            </w:pPr>
            <w:r>
              <w:rPr>
                <w:rFonts w:ascii="Calibri" w:hAnsi="Calibri"/>
                <w:sz w:val="17"/>
              </w:rPr>
              <w:t xml:space="preserve">Retrieve them only with causal asymmetry and nonconstitution guards. Interpretive pressures toward divine self-constitution must remain visible.</w:t>
            </w:r>
          </w:p>
        </w:tc>
      </w:tr>
      <w:tr>
        <w:tc>
          <w:tcPr>
            <w:tcW w:type="dxa" w:w="3312"/>
          </w:tcPr>
          <w:p>
            <w:pPr>
              <w:pStyle w:val="BodyText"/>
              <w:keepNext w:val="0"/>
              <w:spacing w:after="80" w:line="252" w:lineRule="auto"/>
              <w:jc w:val="left"/>
            </w:pPr>
            <w:r>
              <w:rPr>
                <w:rFonts w:ascii="Calibri" w:hAnsi="Calibri"/>
                <w:sz w:val="17"/>
              </w:rPr>
              <w:t xml:space="preserve">Anselm &amp; Bonaventure — Monologion 17, 31, 34; Itinerarium II.11–13, III.1–3, VI.2</w:t>
            </w:r>
          </w:p>
        </w:tc>
        <w:tc>
          <w:tcPr>
            <w:tcW w:type="dxa" w:w="3312"/>
          </w:tcPr>
          <w:p>
            <w:pPr>
              <w:pStyle w:val="BodyText"/>
              <w:keepNext w:val="0"/>
              <w:spacing w:after="80" w:line="252" w:lineRule="auto"/>
              <w:jc w:val="left"/>
            </w:pPr>
            <w:r>
              <w:rPr>
                <w:rFonts w:ascii="Calibri" w:hAnsi="Calibri"/>
                <w:sz w:val="17"/>
              </w:rPr>
              <w:t xml:space="preserve">Composition depends on constituents; mutable likeness does not supply the exemplar’s actuality. Vestige, image, and similitude discriminate forms of expression.</w:t>
            </w:r>
          </w:p>
        </w:tc>
        <w:tc>
          <w:tcPr>
            <w:tcW w:type="dxa" w:w="3312"/>
          </w:tcPr>
          <w:p>
            <w:pPr>
              <w:pStyle w:val="BodyText"/>
              <w:keepNext w:val="0"/>
              <w:spacing w:after="80" w:line="252" w:lineRule="auto"/>
              <w:jc w:val="left"/>
            </w:pPr>
            <w:r>
              <w:rPr>
                <w:rFonts w:ascii="Calibri" w:hAnsi="Calibri"/>
                <w:sz w:val="17"/>
              </w:rPr>
              <w:t xml:space="preserve">Bonaventure’s diffusion of goodness concerns necessary trinitarian fecundity in VI.2; it is not a proof of necessary creation.</w:t>
            </w:r>
          </w:p>
        </w:tc>
      </w:tr>
      <w:tr>
        <w:tc>
          <w:tcPr>
            <w:tcW w:type="dxa" w:w="3312"/>
          </w:tcPr>
          <w:p>
            <w:pPr>
              <w:pStyle w:val="BodyText"/>
              <w:keepNext w:val="0"/>
              <w:spacing w:after="80" w:line="252" w:lineRule="auto"/>
              <w:jc w:val="left"/>
            </w:pPr>
            <w:r>
              <w:rPr>
                <w:rFonts w:ascii="Calibri" w:hAnsi="Calibri"/>
                <w:sz w:val="17"/>
              </w:rPr>
              <w:t xml:space="preserve">Henry of Ghent &amp; Scotus — Henry: Summa art.21 q.4, art.24 q.3; Scotus: Ordinatio I d.2 p.1 qq.1–2, I d.35, I d.39</w:t>
            </w:r>
          </w:p>
        </w:tc>
        <w:tc>
          <w:tcPr>
            <w:tcW w:type="dxa" w:w="3312"/>
          </w:tcPr>
          <w:p>
            <w:pPr>
              <w:pStyle w:val="BodyText"/>
              <w:keepNext w:val="0"/>
              <w:spacing w:after="80" w:line="252" w:lineRule="auto"/>
              <w:jc w:val="left"/>
            </w:pPr>
            <w:r>
              <w:rPr>
                <w:rFonts w:ascii="Calibri" w:hAnsi="Calibri"/>
                <w:sz w:val="17"/>
              </w:rPr>
              <w:t xml:space="preserve">Possible intelligibility and actual production need not be one operation. Divine cognition and volition demand careful modal distinctions.</w:t>
            </w:r>
          </w:p>
        </w:tc>
        <w:tc>
          <w:tcPr>
            <w:tcW w:type="dxa" w:w="3312"/>
          </w:tcPr>
          <w:p>
            <w:pPr>
              <w:pStyle w:val="BodyText"/>
              <w:keepNext w:val="0"/>
              <w:spacing w:after="80" w:line="252" w:lineRule="auto"/>
              <w:jc w:val="left"/>
            </w:pPr>
            <w:r>
              <w:rPr>
                <w:rFonts w:ascii="Calibri" w:hAnsi="Calibri"/>
                <w:sz w:val="17"/>
              </w:rPr>
              <w:t xml:space="preserve">Henry’s necessary possible-essence hierarchy and Scotus’s formal distinction are not interchangeable. Univocity of being is not a common natural genus.</w:t>
            </w:r>
          </w:p>
        </w:tc>
      </w:tr>
      <w:tr>
        <w:tc>
          <w:tcPr>
            <w:tcW w:type="dxa" w:w="3312"/>
          </w:tcPr>
          <w:p>
            <w:pPr>
              <w:pStyle w:val="BodyText"/>
              <w:keepNext w:val="0"/>
              <w:spacing w:after="80" w:line="252" w:lineRule="auto"/>
              <w:jc w:val="left"/>
            </w:pPr>
            <w:r>
              <w:rPr>
                <w:rFonts w:ascii="Calibri" w:hAnsi="Calibri"/>
                <w:sz w:val="17"/>
              </w:rPr>
              <w:t xml:space="preserve">Aquinas — ST I qq.3–4, 13, 15; q.44 a.1 ad2; q.45 a.3; q.105 a.5</w:t>
            </w:r>
          </w:p>
        </w:tc>
        <w:tc>
          <w:tcPr>
            <w:tcW w:type="dxa" w:w="3312"/>
          </w:tcPr>
          <w:p>
            <w:pPr>
              <w:pStyle w:val="BodyText"/>
              <w:keepNext w:val="0"/>
              <w:spacing w:after="80" w:line="252" w:lineRule="auto"/>
              <w:jc w:val="left"/>
            </w:pPr>
            <w:r>
              <w:rPr>
                <w:rFonts w:ascii="Calibri" w:hAnsi="Calibri"/>
                <w:sz w:val="17"/>
              </w:rPr>
              <w:t xml:space="preserve">Necessary beings can still be caused; real creaturely powers can operate under universal divine causality; recipient mode does not migrate into the source.</w:t>
            </w:r>
          </w:p>
        </w:tc>
        <w:tc>
          <w:tcPr>
            <w:tcW w:type="dxa" w:w="3312"/>
          </w:tcPr>
          <w:p>
            <w:pPr>
              <w:pStyle w:val="BodyText"/>
              <w:keepNext w:val="0"/>
              <w:spacing w:after="80" w:line="252" w:lineRule="auto"/>
              <w:jc w:val="left"/>
            </w:pPr>
            <w:r>
              <w:rPr>
                <w:rFonts w:ascii="Calibri" w:hAnsi="Calibri"/>
                <w:sz w:val="17"/>
              </w:rPr>
              <w:t xml:space="preserve">Participation in esse is a strong witness, not the compulsory vocabulary for the entire tradition. Mixed relations require his relational framework.</w:t>
            </w:r>
          </w:p>
        </w:tc>
      </w:tr>
      <w:tr>
        <w:tc>
          <w:tcPr>
            <w:tcW w:type="dxa" w:w="3312"/>
          </w:tcPr>
          <w:p>
            <w:pPr>
              <w:pStyle w:val="BodyText"/>
              <w:keepNext w:val="0"/>
              <w:spacing w:after="80" w:line="252" w:lineRule="auto"/>
              <w:jc w:val="left"/>
            </w:pPr>
            <w:r>
              <w:rPr>
                <w:rFonts w:ascii="Calibri" w:hAnsi="Calibri"/>
                <w:sz w:val="17"/>
              </w:rPr>
              <w:t xml:space="preserve">Damascene, Palamas &amp; Przywara — Damascene: On Holy Images III, image-types; Palamas: Triads III.2; Przywara: Analogia Entis</w:t>
            </w:r>
          </w:p>
        </w:tc>
        <w:tc>
          <w:tcPr>
            <w:tcW w:type="dxa" w:w="3312"/>
          </w:tcPr>
          <w:p>
            <w:pPr>
              <w:pStyle w:val="BodyText"/>
              <w:keepNext w:val="0"/>
              <w:spacing w:after="80" w:line="252" w:lineRule="auto"/>
              <w:jc w:val="left"/>
            </w:pPr>
            <w:r>
              <w:rPr>
                <w:rFonts w:ascii="Calibri" w:hAnsi="Calibri"/>
                <w:sz w:val="17"/>
              </w:rPr>
              <w:t xml:space="preserve">Image kinds, real uncreated communication, and likeness within greater dissimilarity test whether the common grammar is broad enough.</w:t>
            </w:r>
          </w:p>
        </w:tc>
        <w:tc>
          <w:tcPr>
            <w:tcW w:type="dxa" w:w="3312"/>
          </w:tcPr>
          <w:p>
            <w:pPr>
              <w:pStyle w:val="BodyText"/>
              <w:keepNext w:val="0"/>
              <w:spacing w:after="80" w:line="252" w:lineRule="auto"/>
              <w:jc w:val="left"/>
            </w:pPr>
            <w:r>
              <w:rPr>
                <w:rFonts w:ascii="Calibri" w:hAnsi="Calibri"/>
                <w:sz w:val="17"/>
              </w:rPr>
              <w:t xml:space="preserve">Noncomposition is not</w:t>
            </w:r>
            <w:r>
              <w:rPr>
                <w:rFonts w:ascii="Calibri" w:hAnsi="Calibri"/>
                <w:sz w:val="17"/>
              </w:rPr>
              <w:t xml:space="preserve"> </w:t>
            </w:r>
            <w:r>
              <w:rPr>
                <w:rFonts w:ascii="Calibri" w:hAnsi="Calibri"/>
                <w:sz w:val="17"/>
              </w:rPr>
              <w:t xml:space="preserve">“</w:t>
            </w:r>
            <w:r>
              <w:rPr>
                <w:rFonts w:ascii="Calibri" w:hAnsi="Calibri"/>
                <w:sz w:val="17"/>
              </w:rPr>
              <w:t xml:space="preserve">no real distinction whatsoever.</w:t>
            </w:r>
            <w:r>
              <w:rPr>
                <w:rFonts w:ascii="Calibri" w:hAnsi="Calibri"/>
                <w:sz w:val="17"/>
              </w:rPr>
              <w:t xml:space="preserve">”</w:t>
            </w:r>
            <w:r>
              <w:rPr>
                <w:rFonts w:ascii="Calibri" w:hAnsi="Calibri"/>
                <w:sz w:val="17"/>
              </w:rPr>
              <w:t xml:space="preserve"> </w:t>
            </w:r>
            <w:r>
              <w:rPr>
                <w:rFonts w:ascii="Calibri" w:hAnsi="Calibri"/>
                <w:sz w:val="17"/>
              </w:rPr>
              <w:t xml:space="preserve">Essence–energies and scholastic formalities cannot be erased by a blanket claim that every difference concerns only the effects.</w:t>
            </w:r>
          </w:p>
        </w:tc>
      </w:tr>
      <w:tr>
        <w:tc>
          <w:tcPr>
            <w:tcW w:type="dxa" w:w="3312"/>
          </w:tcPr>
          <w:p>
            <w:pPr>
              <w:pStyle w:val="BodyText"/>
              <w:keepNext w:val="0"/>
              <w:spacing w:after="80" w:line="252" w:lineRule="auto"/>
              <w:jc w:val="left"/>
            </w:pPr>
            <w:r>
              <w:rPr>
                <w:rFonts w:ascii="Calibri" w:hAnsi="Calibri"/>
                <w:sz w:val="17"/>
              </w:rPr>
              <w:t xml:space="preserve">Newman — Essay on Development, ch. V, opening §4 and §§I–VII</w:t>
            </w:r>
          </w:p>
        </w:tc>
        <w:tc>
          <w:tcPr>
            <w:tcW w:type="dxa" w:w="3312"/>
          </w:tcPr>
          <w:p>
            <w:pPr>
              <w:pStyle w:val="BodyText"/>
              <w:keepNext w:val="0"/>
              <w:spacing w:after="80" w:line="252" w:lineRule="auto"/>
              <w:jc w:val="left"/>
            </w:pPr>
            <w:r>
              <w:rPr>
                <w:rFonts w:ascii="Calibri" w:hAnsi="Calibri"/>
                <w:sz w:val="17"/>
              </w:rPr>
              <w:t xml:space="preserve">Preservation, continuity, assimilation, sequence, anticipation, conservation, and chronic vigour discipline constructive synthesis.</w:t>
            </w:r>
          </w:p>
        </w:tc>
        <w:tc>
          <w:tcPr>
            <w:tcW w:type="dxa" w:w="3312"/>
          </w:tcPr>
          <w:p>
            <w:pPr>
              <w:pStyle w:val="BodyText"/>
              <w:keepNext w:val="0"/>
              <w:spacing w:after="80" w:line="252" w:lineRule="auto"/>
              <w:jc w:val="left"/>
            </w:pPr>
            <w:r>
              <w:rPr>
                <w:rFonts w:ascii="Calibri" w:hAnsi="Calibri"/>
                <w:sz w:val="17"/>
              </w:rPr>
              <w:t xml:space="preserve">A new system cannot demonstrate centuries of chronic vigour. Explanatory fruitfulness is a provisional adaptation, not Newman’s exact seventh note.</w:t>
            </w:r>
          </w:p>
        </w:tc>
      </w:tr>
    </w:tbl>
    <w:p>
      <w:pPr>
        <w:pStyle w:val="BodyText"/>
      </w:pPr>
      <w:r>
        <w:t xml:space="preserve">The common problem is finite real sourced likeness without divine material or divine acquisition. The contribution assignments are reasonable reconstructions; the five-family/nine-clause architecture is new. Plato’s whole/part dilemma is a problem, not a Christian solution; necessary procession is a modal rival; Henry’s possible-essence hierarchy is not Scotus’s ontology; Palamite energies are not simply Thomistic distinctions of reason. Retrieve compatible structural insights without harmonizing contradictions.</w:t>
      </w:r>
    </w:p>
    <w:bookmarkEnd w:id="164"/>
    <w:bookmarkStart w:id="165" w:name="newman-style-assessment"/>
    <w:p>
      <w:pPr>
        <w:pStyle w:val="Heading3"/>
      </w:pPr>
      <w:r>
        <w:t xml:space="preserve">9. Newman-style assessment</w:t>
      </w:r>
    </w:p>
    <w:p>
      <w:pPr>
        <w:pStyle w:val="FirstParagraph"/>
      </w:pPr>
      <w:r>
        <w:t xml:space="preserve">Newman’s exact notes in Essay on Development ch. V are preservation of type, continuity of principles, power of assimilation, logical sequence, anticipation of its future, conservative action upon its past, and chronic vigour. He notes their varying cogency, independence, and applicability. The user’s fruitfulness criterion is an analogical adaptation, not his seventh note verbatim.</w:t>
      </w:r>
    </w:p>
    <w:p>
      <w:pPr>
        <w:pStyle w:val="BodyText"/>
      </w:pPr>
      <w:r>
        <w:t xml:space="preserve">The proposal provisionally preserves type and central commitments; assimilates exemplarity, grounding, recipient mode, and nonconstitution; proceeds by explicit bridges; identifies antecedent anticipations without attributing the exact system backward; and conserves genuine achievements. It cannot demonstrate chronic vigour for a new system. Countermodel resilience is preliminary explanatory fruitfulness. Verdict: a candidate development of an explanatory grammar, not an ecclesial certification or a demonstrated reconciliation of every school.</w:t>
      </w:r>
    </w:p>
    <w:bookmarkEnd w:id="165"/>
    <w:bookmarkStart w:id="166" w:name="where-explanation-finally-stops"/>
    <w:p>
      <w:pPr>
        <w:pStyle w:val="Heading3"/>
      </w:pPr>
      <w:r>
        <w:t xml:space="preserve">10. Where Explanation Finally Stops</w:t>
      </w:r>
    </w:p>
    <w:p>
      <w:pPr>
        <w:pStyle w:val="FirstParagraph"/>
      </w:pPr>
      <w:r>
        <w:t xml:space="preserve">The theory is conceptually relational but ontologically asymmetric. Its definitions form no circle: Rec uses C/H; P uses Rec/D; L uses H; E uses P/L; U uses D. Underivation is not defined by participation and does not explain why anything is actual.</w:t>
      </w:r>
    </w:p>
    <w:p>
      <w:pPr>
        <w:pStyle w:val="BodyText"/>
      </w:pPr>
      <w:r>
        <w:t xml:space="preserve">Definitional circularity would be vicious if concepts never acquired independent meaning. Epistemic ascent from effects is not causal production of their source. Explanatory mutual articulation can clarify terms but cannot warrant independent bridges. Ontological dependence is one-way in the relevant source respect under CP + U. God is never explained by creatures in the respect in which their actuality is explained by God.</w:t>
      </w:r>
    </w:p>
    <w:p>
      <w:pPr>
        <w:pStyle w:val="BodyText"/>
      </w:pPr>
      <w:r>
        <w:t xml:space="preserve">“</w:t>
      </w:r>
      <w:r>
        <w:t xml:space="preserve">Unreceived actuality</w:t>
      </w:r>
      <w:r>
        <w:t xml:space="preserve">”</w:t>
      </w:r>
      <w:r>
        <w:t xml:space="preserve"> </w:t>
      </w:r>
      <w:r>
        <w:t xml:space="preserve">is actuality under a negative dependence status, not another mysterious object beyond actuality. The best verdict is a constrained primitive network terminating asymmetrically, rather than a proof by virtuous circle. Actuality remains primitive in real realization; causation, qualitative content, constituency, mode, and intrinsic/modal distinctions remain independently assessed. Putting all of them inside an enriched dependence predicate would relocate the explanation.</w:t>
      </w:r>
    </w:p>
    <w:bookmarkEnd w:id="166"/>
    <w:bookmarkStart w:id="167" w:name="the-whole-account-in-ordinary-english"/>
    <w:p>
      <w:pPr>
        <w:pStyle w:val="Heading3"/>
      </w:pPr>
      <w:r>
        <w:t xml:space="preserve">11. The whole account in ordinary English</w:t>
      </w:r>
    </w:p>
    <w:p>
      <w:pPr>
        <w:pStyle w:val="FirstParagraph"/>
      </w:pPr>
      <w:r>
        <w:t xml:space="preserve">A finite being can receive real actuality from a source and express that source in its own mode. If the source is underived and unlimited, composition would make it dependent, and it cannot be an intrinsic constituent of bounded actuality. Many finite effects need not divide, complete, or change its intrinsic fullness. The receiver’s measure measures the reception, not the source. This grammar supplies neither source existence nor free creation by itself: those require further arguments.</w:t>
      </w:r>
    </w:p>
    <w:p>
      <w:pPr>
        <w:pStyle w:val="BodyText"/>
      </w:pPr>
      <w:r>
        <w:t xml:space="preserve">The</w:t>
      </w:r>
      <w:r>
        <w:t xml:space="preserve"> </w:t>
      </w:r>
      <w:r>
        <w:t xml:space="preserve">“</w:t>
      </w:r>
      <w:r>
        <w:t xml:space="preserve">third way</w:t>
      </w:r>
      <w:r>
        <w:t xml:space="preserve">”</w:t>
      </w:r>
      <w:r>
        <w:t xml:space="preserve"> </w:t>
      </w:r>
      <w:r>
        <w:t xml:space="preserve">is a combination of asymmetric dependence, productive causation, qualitative likeness, and finite reception. Creator and creature are genuinely different. Difference need not entail distance, intimacy identity, likeness genus, dependence rivalry, presence constitution, or communication division. This is not</w:t>
      </w:r>
      <w:r>
        <w:t xml:space="preserve"> </w:t>
      </w:r>
      <w:r>
        <w:t xml:space="preserve">“</w:t>
      </w:r>
      <w:r>
        <w:t xml:space="preserve">neither identical nor different.</w:t>
      </w:r>
      <w:r>
        <w:t xml:space="preserve">”</w:t>
      </w:r>
    </w:p>
    <w:bookmarkEnd w:id="167"/>
    <w:bookmarkStart w:id="168" w:name="final-formal-statement"/>
    <w:p>
      <w:pPr>
        <w:pStyle w:val="Heading3"/>
      </w:pPr>
      <w:r>
        <w:t xml:space="preserve">12. Final formal statement</w:t>
      </w:r>
    </w:p>
    <w:p>
      <w:pPr>
        <w:pStyle w:val="SourceCode"/>
      </w:pPr>
      <w:r>
        <w:rPr>
          <w:rStyle w:val="VerbatimChar"/>
        </w:rPr>
        <w:t xml:space="preserve">Primitives: C, D, H, K, J; disclosed worlds, indices and ordered modes.</w:t>
      </w:r>
      <w:r>
        <w:br/>
      </w:r>
      <w:r>
        <w:rPr>
          <w:rStyle w:val="VerbatimChar"/>
        </w:rPr>
        <w:t xml:space="preserve">A(x) := ∃m H(x,e,m); μₑ(x) := its complete mode.</w:t>
      </w:r>
      <w:r>
        <w:br/>
      </w:r>
      <w:r>
        <w:rPr>
          <w:rStyle w:val="VerbatimChar"/>
        </w:rPr>
        <w:t xml:space="preserve">Base: G ∧ CP ∧ U ∧ Q ∧ KD ∧ KH ∧ FS ∧ FC ∧ X.</w:t>
      </w:r>
      <w:r>
        <w:br/>
      </w:r>
      <w:r>
        <w:rPr>
          <w:rStyle w:val="VerbatimChar"/>
        </w:rPr>
        <w:t xml:space="preserve">Rec(x,q,g) := C(g,x,q) ∧ ∃m H(x,q,m).</w:t>
      </w:r>
      <w:r>
        <w:br/>
      </w:r>
      <w:r>
        <w:rPr>
          <w:rStyle w:val="VerbatimChar"/>
        </w:rPr>
        <w:t xml:space="preserve">P(x,g,q) := Rec(x,q,g) ∧ D(x,g,q).</w:t>
      </w:r>
      <w:r>
        <w:br/>
      </w:r>
      <w:r>
        <w:rPr>
          <w:rStyle w:val="VerbatimChar"/>
        </w:rPr>
        <w:t xml:space="preserve">L(x,g,q) := ∃m,n [H(x,q,m) ∧ H(g,q,n)].</w:t>
      </w:r>
      <w:r>
        <w:br/>
      </w:r>
      <w:r>
        <w:rPr>
          <w:rStyle w:val="VerbatimChar"/>
        </w:rPr>
        <w:t xml:space="preserve">Rec ⇒ P by CP; P ⇒ L by Q; P ⇒ x≠g by U.</w:t>
      </w:r>
      <w:r>
        <w:br/>
      </w:r>
      <w:r>
        <w:rPr>
          <w:rStyle w:val="VerbatimChar"/>
        </w:rPr>
        <w:t xml:space="preserve">K(z,g) ⇒ D(g,z,e), contradicting U.</w:t>
      </w:r>
      <w:r>
        <w:br/>
      </w:r>
      <w:r>
        <w:rPr>
          <w:rStyle w:val="VerbatimChar"/>
        </w:rPr>
        <w:t xml:space="preserve">K(g,x) ⇒ μₑ(g)≤μₑ(x), contradicting FS + FC.</w:t>
      </w:r>
      <w:r>
        <w:br/>
      </w:r>
      <w:r>
        <w:rPr>
          <w:rStyle w:val="VerbatimChar"/>
        </w:rPr>
        <w:t xml:space="preserve">finite x ⇒ μₑ(x)&lt;μₑ(g), by FS + FC.</w:t>
      </w:r>
      <w:r>
        <w:br/>
      </w:r>
      <w:r>
        <w:rPr>
          <w:rStyle w:val="VerbatimChar"/>
        </w:rPr>
        <w:t xml:space="preserve">Strong genus exclusion requires N.</w:t>
      </w:r>
      <w:r>
        <w:br/>
      </w:r>
      <w:r>
        <w:rPr>
          <w:rStyle w:val="VerbatimChar"/>
        </w:rPr>
        <w:t xml:space="preserve">Universal finite contingency requires accessible same-fullness omission alternatives.</w:t>
      </w:r>
      <w:r>
        <w:br/>
      </w:r>
      <w:r>
        <w:rPr>
          <w:rStyle w:val="VerbatimChar"/>
        </w:rPr>
        <w:t xml:space="preserve">Intentional freedom additionally requires unnecessitated intelligent selection.</w:t>
      </w:r>
    </w:p>
    <w:bookmarkEnd w:id="168"/>
    <w:bookmarkStart w:id="169" w:name="evidence-and-reading-paths"/>
    <w:p>
      <w:pPr>
        <w:pStyle w:val="Heading3"/>
      </w:pPr>
      <w:r>
        <w:t xml:space="preserve">Evidence and reading paths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Source</w:t>
            </w:r>
          </w:p>
        </w:tc>
        <w:tc>
          <w:tcPr>
            <w:tcW w:type="dxa" w:w="3312"/>
            <w:shd w:fill="EAE5DA"/>
          </w:tcPr>
          <w:p>
            <w:pPr>
              <w:pStyle w:val="BodyText"/>
              <w:keepNext w:val="0"/>
              <w:spacing w:after="80" w:line="252" w:lineRule="auto"/>
              <w:jc w:val="left"/>
            </w:pPr>
            <w:r>
              <w:rPr>
                <w:rFonts w:ascii="Calibri" w:hAnsi="Calibri"/>
                <w:b/>
                <w:sz w:val="17"/>
              </w:rPr>
              <w:t xml:space="preserve">Status</w:t>
            </w:r>
          </w:p>
        </w:tc>
        <w:tc>
          <w:tcPr>
            <w:tcW w:type="dxa" w:w="3312"/>
            <w:shd w:fill="EAE5DA"/>
          </w:tcPr>
          <w:p>
            <w:pPr>
              <w:pStyle w:val="BodyText"/>
              <w:keepNext w:val="0"/>
              <w:spacing w:after="80" w:line="252" w:lineRule="auto"/>
              <w:jc w:val="left"/>
            </w:pPr>
            <w:r>
              <w:rPr>
                <w:rFonts w:ascii="Calibri" w:hAnsi="Calibri"/>
                <w:b/>
                <w:sz w:val="17"/>
              </w:rPr>
              <w:t xml:space="preserve">Consultation / limits</w:t>
            </w:r>
          </w:p>
        </w:tc>
      </w:tr>
      <w:tr>
        <w:tc>
          <w:tcPr>
            <w:tcW w:type="dxa" w:w="3312"/>
          </w:tcPr>
          <w:p>
            <w:pPr>
              <w:pStyle w:val="BodyText"/>
              <w:keepNext w:val="0"/>
              <w:spacing w:after="80" w:line="252" w:lineRule="auto"/>
              <w:jc w:val="left"/>
            </w:pPr>
            <w:hyperlink r:id="rId110">
              <w:r>
                <w:rPr>
                  <w:rStyle w:val="Hyperlink"/>
                </w:rPr>
                <w:t xml:space="preserve">Aristotle, Metaphysics</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Hugh Tredennick, Perseus digital XML; selected passages consulted with Bekker milestones. Causal orders, being not a genus, and actuality-priority supply background; none independently yields Christian creation.</w:t>
            </w:r>
          </w:p>
        </w:tc>
      </w:tr>
      <w:tr>
        <w:tc>
          <w:tcPr>
            <w:tcW w:type="dxa" w:w="3312"/>
          </w:tcPr>
          <w:p>
            <w:pPr>
              <w:pStyle w:val="BodyText"/>
              <w:keepNext w:val="0"/>
              <w:spacing w:after="80" w:line="252" w:lineRule="auto"/>
              <w:jc w:val="left"/>
            </w:pPr>
            <w:hyperlink r:id="rId112">
              <w:r>
                <w:rPr>
                  <w:rStyle w:val="Hyperlink"/>
                </w:rPr>
                <w:t xml:space="preserve">Plotinus, Enneads</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Kenneth Sylvan Guthrie, older translation, GITenberg volume I; selected treatises consulted. V.2.1 and VI.9 clarify nonpartition; V.1.6 supplies modal pressure. Armstrong’s critical edition remains a follow-up.</w:t>
            </w:r>
          </w:p>
        </w:tc>
      </w:tr>
      <w:tr>
        <w:tc>
          <w:tcPr>
            <w:tcW w:type="dxa" w:w="3312"/>
          </w:tcPr>
          <w:p>
            <w:pPr>
              <w:pStyle w:val="BodyText"/>
              <w:keepNext w:val="0"/>
              <w:spacing w:after="80" w:line="252" w:lineRule="auto"/>
              <w:jc w:val="left"/>
            </w:pPr>
            <w:hyperlink r:id="rId114">
              <w:r>
                <w:rPr>
                  <w:rStyle w:val="Hyperlink"/>
                </w:rPr>
                <w:t xml:space="preserve">Gregory of Nyssa, On the Making of Man XVI</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Moore / Wilson translation, Standard Ebooks transcription; edition provenance checked. Likeness in attributes, created–uncreated difference, and creaturely measure are directly verified. Life of Moses remains a separate unconsulted lead.</w:t>
            </w:r>
          </w:p>
        </w:tc>
      </w:tr>
      <w:tr>
        <w:tc>
          <w:tcPr>
            <w:tcW w:type="dxa" w:w="3312"/>
          </w:tcPr>
          <w:p>
            <w:pPr>
              <w:pStyle w:val="BodyText"/>
              <w:keepNext w:val="0"/>
              <w:spacing w:after="80" w:line="252" w:lineRule="auto"/>
              <w:jc w:val="left"/>
            </w:pPr>
            <w:hyperlink r:id="rId116">
              <w:r>
                <w:rPr>
                  <w:rStyle w:val="Hyperlink"/>
                </w:rPr>
                <w:t xml:space="preserve">Dionysius, Divine Names</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Calfa / GREgORI academic PG 3 Greek OCR, unproofread; selected clauses consulted. II.5, V.8, IX.6–7 support nonpartition and recipient-mode. OCR was not collated with a critical edition; exact wording remains provisional.</w:t>
            </w:r>
          </w:p>
        </w:tc>
      </w:tr>
      <w:tr>
        <w:tc>
          <w:tcPr>
            <w:tcW w:type="dxa" w:w="3312"/>
          </w:tcPr>
          <w:p>
            <w:pPr>
              <w:pStyle w:val="BodyText"/>
              <w:keepNext w:val="0"/>
              <w:spacing w:after="80" w:line="252" w:lineRule="auto"/>
              <w:jc w:val="left"/>
            </w:pPr>
            <w:hyperlink r:id="rId118">
              <w:r>
                <w:rPr>
                  <w:rStyle w:val="Hyperlink"/>
                </w:rPr>
                <w:t xml:space="preserve">Maximus, Ambiguum 7</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Provisional Greek transcription mirror; source edition undocumented. Selected passage consulted. The passage distinguishes logoi/preknowledge from created actualization. Reliable Constas-edition verification remains pending.</w:t>
            </w:r>
          </w:p>
        </w:tc>
      </w:tr>
      <w:tr>
        <w:tc>
          <w:tcPr>
            <w:tcW w:type="dxa" w:w="3312"/>
          </w:tcPr>
          <w:p>
            <w:pPr>
              <w:pStyle w:val="BodyText"/>
              <w:keepNext w:val="0"/>
              <w:spacing w:after="80" w:line="252" w:lineRule="auto"/>
              <w:jc w:val="left"/>
            </w:pPr>
            <w:hyperlink r:id="rId120">
              <w:r>
                <w:rPr>
                  <w:rStyle w:val="Hyperlink"/>
                </w:rPr>
                <w:t xml:space="preserve">Plato, Parmenides; Timaeus; Republic</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Benjamin Jowett translations, public-domain Gutenberg mirrors. Read selected passages; antiquated translations. The whole/part dilemma and exemplar language are verified; Greek philology is not supplied by these translations.</w:t>
            </w:r>
          </w:p>
        </w:tc>
      </w:tr>
      <w:tr>
        <w:tc>
          <w:tcPr>
            <w:tcW w:type="dxa" w:w="3312"/>
          </w:tcPr>
          <w:p>
            <w:pPr>
              <w:pStyle w:val="BodyText"/>
              <w:keepNext w:val="0"/>
              <w:spacing w:after="80" w:line="252" w:lineRule="auto"/>
              <w:jc w:val="left"/>
            </w:pPr>
            <w:hyperlink r:id="rId122">
              <w:r>
                <w:rPr>
                  <w:rStyle w:val="Hyperlink"/>
                </w:rPr>
                <w:t xml:space="preserve">Augustine, City of God XI.10</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Marcus Dods translation, vol. I; Gutenberg #45304. Selected chapter consulted. Simple God</w:t>
            </w:r>
            <w:r>
              <w:rPr>
                <w:rFonts w:ascii="Calibri" w:hAnsi="Calibri"/>
                <w:sz w:val="17"/>
              </w:rPr>
              <w:t xml:space="preserve"> </w:t>
            </w:r>
            <w:r>
              <w:rPr>
                <w:rFonts w:ascii="Calibri" w:hAnsi="Calibri"/>
                <w:sz w:val="17"/>
              </w:rPr>
              <w:t xml:space="preserve">“</w:t>
            </w:r>
            <w:r>
              <w:rPr>
                <w:rFonts w:ascii="Calibri" w:hAnsi="Calibri"/>
                <w:sz w:val="17"/>
              </w:rPr>
              <w:t xml:space="preserve">is what it has</w:t>
            </w:r>
            <w:r>
              <w:rPr>
                <w:rFonts w:ascii="Calibri" w:hAnsi="Calibri"/>
                <w:sz w:val="17"/>
              </w:rPr>
              <w:t xml:space="preserve">”</w:t>
            </w:r>
            <w:r>
              <w:rPr>
                <w:rFonts w:ascii="Calibri" w:hAnsi="Calibri"/>
                <w:sz w:val="17"/>
              </w:rPr>
              <w:t xml:space="preserve">; received creaturely wisdom is contrasted with divine wisdom. Related q.46 remains a locus lead.</w:t>
            </w:r>
          </w:p>
        </w:tc>
      </w:tr>
      <w:tr>
        <w:tc>
          <w:tcPr>
            <w:tcW w:type="dxa" w:w="3312"/>
          </w:tcPr>
          <w:p>
            <w:pPr>
              <w:pStyle w:val="BodyText"/>
              <w:keepNext w:val="0"/>
              <w:spacing w:after="80" w:line="252" w:lineRule="auto"/>
              <w:jc w:val="left"/>
            </w:pPr>
            <w:hyperlink r:id="rId124">
              <w:r>
                <w:rPr>
                  <w:rStyle w:val="Hyperlink"/>
                </w:rPr>
                <w:t xml:space="preserve">Anselm, Monologion</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Latin public-domain scan OCR mirror. Selected chapters consulted; OCR must be checked for quotation. Chapters 17, 31, and 34 anchor composition-dependence and asymmetric exemplar likeness; no unverified quotation is used.</w:t>
            </w:r>
          </w:p>
        </w:tc>
      </w:tr>
      <w:tr>
        <w:tc>
          <w:tcPr>
            <w:tcW w:type="dxa" w:w="3312"/>
          </w:tcPr>
          <w:p>
            <w:pPr>
              <w:pStyle w:val="BodyText"/>
              <w:keepNext w:val="0"/>
              <w:spacing w:after="80" w:line="252" w:lineRule="auto"/>
              <w:jc w:val="left"/>
            </w:pPr>
            <w:hyperlink r:id="rId126">
              <w:r>
                <w:rPr>
                  <w:rStyle w:val="Hyperlink"/>
                </w:rPr>
                <w:t xml:space="preserve">Aquinas, Summa Theologiae, Prima Pars</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English Dominican Fathers, Complete American Edition; Gutenberg #17611. Selected articles consulted. Causation of necessary beings, primary/secondary causality, divine ideas, analogy, simplicity, and mixed relations verified at article level.</w:t>
            </w:r>
          </w:p>
        </w:tc>
      </w:tr>
      <w:tr>
        <w:tc>
          <w:tcPr>
            <w:tcW w:type="dxa" w:w="3312"/>
          </w:tcPr>
          <w:p>
            <w:pPr>
              <w:pStyle w:val="BodyText"/>
              <w:keepNext w:val="0"/>
              <w:spacing w:after="80" w:line="252" w:lineRule="auto"/>
              <w:jc w:val="left"/>
            </w:pPr>
            <w:hyperlink r:id="rId128">
              <w:r>
                <w:rPr>
                  <w:rStyle w:val="Hyperlink"/>
                </w:rPr>
                <w:t xml:space="preserve">Newman, Essay on the Development of Christian Doctrine</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Gutenberg #35110 mirror; chapter V consulted. The seven notes and their varying independence/applicability were checked. Newman is used analogically, not to certify a doctrine.</w:t>
            </w:r>
          </w:p>
        </w:tc>
      </w:tr>
      <w:tr>
        <w:tc>
          <w:tcPr>
            <w:tcW w:type="dxa" w:w="3312"/>
          </w:tcPr>
          <w:p>
            <w:pPr>
              <w:pStyle w:val="BodyText"/>
              <w:keepNext w:val="0"/>
              <w:spacing w:after="80" w:line="252" w:lineRule="auto"/>
              <w:jc w:val="left"/>
            </w:pPr>
            <w:hyperlink r:id="rId130">
              <w:r>
                <w:rPr>
                  <w:rStyle w:val="Hyperlink"/>
                </w:rPr>
                <w:t xml:space="preserve">John Damascene, On Holy Images</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Mary H. Allies, 1898; Gutenberg #49917 mirror. Selected image-type discussion consulted. Translation has an anachronistic identification in one passage; the dossier records it and restricts constructive use.</w:t>
            </w:r>
          </w:p>
        </w:tc>
      </w:tr>
      <w:tr>
        <w:tc>
          <w:tcPr>
            <w:tcW w:type="dxa" w:w="3312"/>
          </w:tcPr>
          <w:p>
            <w:pPr>
              <w:pStyle w:val="BodyText"/>
              <w:keepNext w:val="0"/>
              <w:spacing w:after="80" w:line="252" w:lineRule="auto"/>
              <w:jc w:val="left"/>
            </w:pPr>
            <w:hyperlink r:id="rId132">
              <w:r>
                <w:rPr>
                  <w:rStyle w:val="Hyperlink"/>
                </w:rPr>
                <w:t xml:space="preserve">Stanford Encyclopedia: archived article-body mirror</w:t>
              </w:r>
            </w:hyperlink>
          </w:p>
        </w:tc>
        <w:tc>
          <w:tcPr>
            <w:tcW w:type="dxa" w:w="3312"/>
          </w:tcPr>
          <w:p>
            <w:pPr>
              <w:pStyle w:val="BodyText"/>
              <w:keepNext w:val="0"/>
              <w:spacing w:after="80" w:line="252" w:lineRule="auto"/>
              <w:jc w:val="left"/>
            </w:pPr>
            <w:r>
              <w:rPr>
                <w:rFonts w:ascii="Calibri" w:hAnsi="Calibri"/>
                <w:sz w:val="17"/>
              </w:rPr>
              <w:t xml:space="preserve">secondary</w:t>
            </w:r>
          </w:p>
        </w:tc>
        <w:tc>
          <w:tcPr>
            <w:tcW w:type="dxa" w:w="3312"/>
          </w:tcPr>
          <w:p>
            <w:pPr>
              <w:pStyle w:val="BodyText"/>
              <w:keepNext w:val="0"/>
              <w:spacing w:after="80" w:line="252" w:lineRule="auto"/>
              <w:jc w:val="left"/>
            </w:pPr>
            <w:r>
              <w:rPr>
                <w:rFonts w:ascii="Calibri" w:hAnsi="Calibri"/>
                <w:sz w:val="17"/>
              </w:rPr>
              <w:t xml:space="preserve">Readable SEP prose in philo2vec archive committed by August 2016; headers, bibliography, and individual revision dates absent. Selected Bonaventure, Henry, Anselm, Dionysius, Eriugena, Cusa and other entries consulted where recorded. This is archival secondary evidence, not a verified current edition.</w:t>
            </w:r>
          </w:p>
        </w:tc>
      </w:tr>
      <w:tr>
        <w:tc>
          <w:tcPr>
            <w:tcW w:type="dxa" w:w="3312"/>
          </w:tcPr>
          <w:p>
            <w:pPr>
              <w:pStyle w:val="BodyText"/>
              <w:keepNext w:val="0"/>
              <w:spacing w:after="80" w:line="252" w:lineRule="auto"/>
              <w:jc w:val="left"/>
            </w:pPr>
            <w:hyperlink r:id="rId134">
              <w:r>
                <w:rPr>
                  <w:rStyle w:val="Hyperlink"/>
                </w:rPr>
                <w:t xml:space="preserve">Gregory of Nyssa, Life of Moses</w:t>
              </w:r>
            </w:hyperlink>
          </w:p>
        </w:tc>
        <w:tc>
          <w:tcPr>
            <w:tcW w:type="dxa" w:w="3312"/>
          </w:tcPr>
          <w:p>
            <w:pPr>
              <w:pStyle w:val="BodyText"/>
              <w:keepNext w:val="0"/>
              <w:spacing w:after="80" w:line="252" w:lineRule="auto"/>
              <w:jc w:val="left"/>
            </w:pPr>
            <w:r>
              <w:rPr>
                <w:rFonts w:ascii="Calibri" w:hAnsi="Calibri"/>
                <w:sz w:val="17"/>
              </w:rPr>
              <w:t xml:space="preserve">pending</w:t>
            </w:r>
          </w:p>
        </w:tc>
        <w:tc>
          <w:tcPr>
            <w:tcW w:type="dxa" w:w="3312"/>
          </w:tcPr>
          <w:p>
            <w:pPr>
              <w:pStyle w:val="BodyText"/>
              <w:keepNext w:val="0"/>
              <w:spacing w:after="80" w:line="252" w:lineRule="auto"/>
              <w:jc w:val="left"/>
            </w:pPr>
            <w:r>
              <w:rPr>
                <w:rFonts w:ascii="Calibri" w:hAnsi="Calibri"/>
                <w:sz w:val="17"/>
              </w:rPr>
              <w:t xml:space="preserve">Abraham J. Malherbe and Everett Ferguson, Paulist Press, 1978; II.230–239. Primary locus and scholarly bibliography supplied in dossier; full reliable translation was not directly consulted in this run.</w:t>
            </w:r>
          </w:p>
        </w:tc>
      </w:tr>
      <w:tr>
        <w:tc>
          <w:tcPr>
            <w:tcW w:type="dxa" w:w="3312"/>
          </w:tcPr>
          <w:p>
            <w:pPr>
              <w:pStyle w:val="BodyText"/>
              <w:keepNext w:val="0"/>
              <w:spacing w:after="80" w:line="252" w:lineRule="auto"/>
              <w:jc w:val="left"/>
            </w:pPr>
            <w:hyperlink r:id="rId136">
              <w:r>
                <w:rPr>
                  <w:rStyle w:val="Hyperlink"/>
                </w:rPr>
                <w:t xml:space="preserve">Dionysius / Maximus: modern critical translations</w:t>
              </w:r>
            </w:hyperlink>
          </w:p>
        </w:tc>
        <w:tc>
          <w:tcPr>
            <w:tcW w:type="dxa" w:w="3312"/>
          </w:tcPr>
          <w:p>
            <w:pPr>
              <w:pStyle w:val="BodyText"/>
              <w:keepNext w:val="0"/>
              <w:spacing w:after="80" w:line="252" w:lineRule="auto"/>
              <w:jc w:val="left"/>
            </w:pPr>
            <w:r>
              <w:rPr>
                <w:rFonts w:ascii="Calibri" w:hAnsi="Calibri"/>
                <w:sz w:val="17"/>
              </w:rPr>
              <w:t xml:space="preserve">pending</w:t>
            </w:r>
          </w:p>
        </w:tc>
        <w:tc>
          <w:tcPr>
            <w:tcW w:type="dxa" w:w="3312"/>
          </w:tcPr>
          <w:p>
            <w:pPr>
              <w:pStyle w:val="BodyText"/>
              <w:keepNext w:val="0"/>
              <w:spacing w:after="80" w:line="252" w:lineRule="auto"/>
              <w:jc w:val="left"/>
            </w:pPr>
            <w:r>
              <w:rPr>
                <w:rFonts w:ascii="Calibri" w:hAnsi="Calibri"/>
                <w:sz w:val="17"/>
              </w:rPr>
              <w:t xml:space="preserve">Colm Luibheid / Paul Rorem (1987); Nicholas Constas (2014). Digital primary witnesses and secondary archive prose were read. The reliable modern complete translations remain unconsulted.</w:t>
            </w:r>
          </w:p>
        </w:tc>
      </w:tr>
      <w:tr>
        <w:tc>
          <w:tcPr>
            <w:tcW w:type="dxa" w:w="3312"/>
          </w:tcPr>
          <w:p>
            <w:pPr>
              <w:pStyle w:val="BodyText"/>
              <w:keepNext w:val="0"/>
              <w:spacing w:after="80" w:line="252" w:lineRule="auto"/>
              <w:jc w:val="left"/>
            </w:pPr>
            <w:hyperlink r:id="rId138">
              <w:r>
                <w:rPr>
                  <w:rStyle w:val="Hyperlink"/>
                </w:rPr>
                <w:t xml:space="preserve">Henry of Ghent; Duns Scotus</w:t>
              </w:r>
            </w:hyperlink>
          </w:p>
        </w:tc>
        <w:tc>
          <w:tcPr>
            <w:tcW w:type="dxa" w:w="3312"/>
          </w:tcPr>
          <w:p>
            <w:pPr>
              <w:pStyle w:val="BodyText"/>
              <w:keepNext w:val="0"/>
              <w:spacing w:after="80" w:line="252" w:lineRule="auto"/>
              <w:jc w:val="left"/>
            </w:pPr>
            <w:r>
              <w:rPr>
                <w:rFonts w:ascii="Calibri" w:hAnsi="Calibri"/>
                <w:sz w:val="17"/>
              </w:rPr>
              <w:t xml:space="preserve">pending</w:t>
            </w:r>
          </w:p>
        </w:tc>
        <w:tc>
          <w:tcPr>
            <w:tcW w:type="dxa" w:w="3312"/>
          </w:tcPr>
          <w:p>
            <w:pPr>
              <w:pStyle w:val="BodyText"/>
              <w:keepNext w:val="0"/>
              <w:spacing w:after="80" w:line="252" w:lineRule="auto"/>
              <w:jc w:val="left"/>
            </w:pPr>
            <w:r>
              <w:rPr>
                <w:rFonts w:ascii="Calibri" w:hAnsi="Calibri"/>
                <w:sz w:val="17"/>
              </w:rPr>
              <w:t xml:space="preserve">Critical scholastic editions and specialist works listed in the dossiers. Henry archived secondary prose consulted. Primary Henry and Scotus loci are leads, not claims of new primary-text verification.</w:t>
            </w:r>
          </w:p>
        </w:tc>
      </w:tr>
      <w:tr>
        <w:tc>
          <w:tcPr>
            <w:tcW w:type="dxa" w:w="3312"/>
          </w:tcPr>
          <w:p>
            <w:pPr>
              <w:pStyle w:val="BodyText"/>
              <w:keepNext w:val="0"/>
              <w:spacing w:after="80" w:line="252" w:lineRule="auto"/>
              <w:jc w:val="left"/>
            </w:pPr>
            <w:hyperlink r:id="rId140">
              <w:r>
                <w:rPr>
                  <w:rStyle w:val="Hyperlink"/>
                </w:rPr>
                <w:t xml:space="preserve">Przywara, Analogia Entis; Palamas, Triads</w:t>
              </w:r>
            </w:hyperlink>
          </w:p>
        </w:tc>
        <w:tc>
          <w:tcPr>
            <w:tcW w:type="dxa" w:w="3312"/>
          </w:tcPr>
          <w:p>
            <w:pPr>
              <w:pStyle w:val="BodyText"/>
              <w:keepNext w:val="0"/>
              <w:spacing w:after="80" w:line="252" w:lineRule="auto"/>
              <w:jc w:val="left"/>
            </w:pPr>
            <w:r>
              <w:rPr>
                <w:rFonts w:ascii="Calibri" w:hAnsi="Calibri"/>
                <w:sz w:val="17"/>
              </w:rPr>
              <w:t xml:space="preserve">pending</w:t>
            </w:r>
          </w:p>
        </w:tc>
        <w:tc>
          <w:tcPr>
            <w:tcW w:type="dxa" w:w="3312"/>
          </w:tcPr>
          <w:p>
            <w:pPr>
              <w:pStyle w:val="BodyText"/>
              <w:keepNext w:val="0"/>
              <w:spacing w:after="80" w:line="252" w:lineRule="auto"/>
              <w:jc w:val="left"/>
            </w:pPr>
            <w:r>
              <w:rPr>
                <w:rFonts w:ascii="Calibri" w:hAnsi="Calibri"/>
                <w:sz w:val="17"/>
              </w:rPr>
              <w:t xml:space="preserve">John R. Betz / David Bentley Hart (2014); Nicholas Gendle (1983). Structural safeguards and bibliography supplied. Full primary works not consulted; no claim that their disputed models are identical.</w:t>
            </w:r>
          </w:p>
        </w:tc>
      </w:tr>
      <w:tr>
        <w:tc>
          <w:tcPr>
            <w:tcW w:type="dxa" w:w="3312"/>
          </w:tcPr>
          <w:p>
            <w:pPr>
              <w:pStyle w:val="BodyText"/>
              <w:keepNext w:val="0"/>
              <w:spacing w:after="80" w:line="252" w:lineRule="auto"/>
              <w:jc w:val="left"/>
            </w:pPr>
            <w:hyperlink r:id="rId70">
              <w:r>
                <w:rPr>
                  <w:rStyle w:val="Hyperlink"/>
                </w:rPr>
                <w:t xml:space="preserve">Specialist scholarship across the field</w:t>
              </w:r>
            </w:hyperlink>
          </w:p>
        </w:tc>
        <w:tc>
          <w:tcPr>
            <w:tcW w:type="dxa" w:w="3312"/>
          </w:tcPr>
          <w:p>
            <w:pPr>
              <w:pStyle w:val="BodyText"/>
              <w:keepNext w:val="0"/>
              <w:spacing w:after="80" w:line="252" w:lineRule="auto"/>
              <w:jc w:val="left"/>
            </w:pPr>
            <w:r>
              <w:rPr>
                <w:rFonts w:ascii="Calibri" w:hAnsi="Calibri"/>
                <w:sz w:val="17"/>
              </w:rPr>
              <w:t xml:space="preserve">pending</w:t>
            </w:r>
          </w:p>
        </w:tc>
        <w:tc>
          <w:tcPr>
            <w:tcW w:type="dxa" w:w="3312"/>
          </w:tcPr>
          <w:p>
            <w:pPr>
              <w:pStyle w:val="BodyText"/>
              <w:keepNext w:val="0"/>
              <w:spacing w:after="80" w:line="252" w:lineRule="auto"/>
              <w:jc w:val="left"/>
            </w:pPr>
            <w:r>
              <w:rPr>
                <w:rFonts w:ascii="Calibri" w:hAnsi="Calibri"/>
                <w:sz w:val="17"/>
              </w:rPr>
              <w:t xml:space="preserve">Dossiers distinguish consulted archive prose from bibliographic leads: Balás, Rorem, Perl, Blowers, Moran, McGinn, Noone/Houser, Porro/Pickavé, Wippel, Cross and Betz. A research map rather than a completed critical-edition survey. No bibliography entry is silently treated as a book read.</w:t>
            </w:r>
          </w:p>
        </w:tc>
      </w:tr>
    </w:tbl>
    <w:p>
      <w:pPr>
        <w:pStyle w:val="BodyText"/>
      </w:pPr>
      <w:r>
        <w:t xml:space="preserve">Read the detailed</w:t>
      </w:r>
      <w:r>
        <w:t xml:space="preserve"> </w:t>
      </w:r>
      <w:hyperlink r:id="rId83">
        <w:r>
          <w:rPr>
            <w:rStyle w:val="Hyperlink"/>
          </w:rPr>
          <w:t xml:space="preserve">formal architecture</w:t>
        </w:r>
      </w:hyperlink>
      <w:r>
        <w:t xml:space="preserve">,</w:t>
      </w:r>
      <w:r>
        <w:t xml:space="preserve"> </w:t>
      </w:r>
      <w:hyperlink r:id="rId70">
        <w:r>
          <w:rPr>
            <w:rStyle w:val="Hyperlink"/>
          </w:rPr>
          <w:t xml:space="preserve">ancient/patristic</w:t>
        </w:r>
      </w:hyperlink>
      <w:r>
        <w:t xml:space="preserve">,</w:t>
      </w:r>
      <w:r>
        <w:t xml:space="preserve"> </w:t>
      </w:r>
      <w:hyperlink r:id="rId71">
        <w:r>
          <w:rPr>
            <w:rStyle w:val="Hyperlink"/>
          </w:rPr>
          <w:t xml:space="preserve">Eastern/theophanic</w:t>
        </w:r>
      </w:hyperlink>
      <w:r>
        <w:t xml:space="preserve">,</w:t>
      </w:r>
      <w:r>
        <w:t xml:space="preserve"> </w:t>
      </w:r>
      <w:hyperlink r:id="rId72">
        <w:r>
          <w:rPr>
            <w:rStyle w:val="Hyperlink"/>
          </w:rPr>
          <w:t xml:space="preserve">Latin exemplarism</w:t>
        </w:r>
      </w:hyperlink>
      <w:r>
        <w:t xml:space="preserve">, and</w:t>
      </w:r>
      <w:r>
        <w:t xml:space="preserve"> </w:t>
      </w:r>
      <w:hyperlink r:id="rId73">
        <w:r>
          <w:rPr>
            <w:rStyle w:val="Hyperlink"/>
          </w:rPr>
          <w:t xml:space="preserve">Aquinas/Scotus/Newman</w:t>
        </w:r>
      </w:hyperlink>
      <w:r>
        <w:t xml:space="preserve"> </w:t>
      </w:r>
      <w:r>
        <w:t xml:space="preserve">dossiers for source distinctions and specialist bibliographies. Bibliographic leads are not presented as works newly read. Critical-edition collation, current specialist debate, pure-perfection semantics, inherence, and the modal truthmaker of divine willing remain open work.</w:t>
      </w:r>
    </w:p>
    <w:bookmarkEnd w:id="169"/>
    <w:bookmarkStart w:id="176" w:name="questions-and-answers"/>
    <w:p>
      <w:pPr>
        <w:pStyle w:val="Heading3"/>
      </w:pPr>
      <w:r>
        <w:t xml:space="preserve">Questions and answers</w:t>
      </w:r>
    </w:p>
    <w:p>
      <w:pPr>
        <w:pStyle w:val="FirstParagraph"/>
      </w:pPr>
      <w:r>
        <w:t xml:space="preserve">From God, like God, and genuinely other: direct answers to the participation questions.</w:t>
      </w:r>
    </w:p>
    <w:bookmarkStart w:id="171" w:name="Xb24c90beec6ff5a1d6c742bde6aeb41090f93f4"/>
    <w:p>
      <w:pPr>
        <w:pStyle w:val="Heading4"/>
      </w:pPr>
      <w:r>
        <w:t xml:space="preserve">1. How can a creature be genuinely from God without being a piece of God?</w:t>
      </w:r>
    </w:p>
    <w:p>
      <w:pPr>
        <w:pStyle w:val="FirstParagraph"/>
      </w:pPr>
      <w:r>
        <w:t xml:space="preserve">A creature possesses an actuality that God causes and sustains. That actuality is genuinely the creature’s: the received life is its life, and a received capacity can be its capacity to exercise. Participation names this real, dependent possession. Dependence answers where the actuality comes from; possession answers whose actuality it is. Neither answer cancels the other. A source can therefore sustain another reality without turning it into a portion of its own substance.</w:t>
      </w:r>
    </w:p>
    <w:p>
      <w:pPr>
        <w:pStyle w:val="BodyText"/>
      </w:pPr>
      <w:r>
        <w:t xml:space="preserve">Nonpartition requires an argument in addition to that definition. If proper constituents make their whole depend upon them, absolute underivation excludes creatures as constituents of God. A separate capacity principle excludes unlimited divine actuality as a constituent of a bounded creature. On these premises, sustaining presence means present causality rather than spatial proximity. The creature’s own exercise then requires another bridge: its received power must genuinely contribute to what occurs. Participation supplies the basis for secondary agency; it does not establish agency by naming it.</w:t>
      </w:r>
    </w:p>
    <w:bookmarkStart w:id="170" w:name="X2ca53665a0594db9eb68432fe0cc1b592dad5d1"/>
    <w:p>
      <w:pPr>
        <w:pStyle w:val="Heading5"/>
      </w:pPr>
      <w:r>
        <w:t xml:space="preserve">The premises behind this answer: Causation and constitution</w:t>
      </w:r>
    </w:p>
    <w:p>
      <w:pPr>
        <w:pStyle w:val="FirstParagraph"/>
      </w:pPr>
      <w:r>
        <w:t xml:space="preserve">Uses the source assumptions and constitution bridges already stated in Part I.</w:t>
      </w:r>
    </w:p>
    <w:p>
      <w:pPr>
        <w:pStyle w:val="BodyText"/>
      </w:pPr>
      <w:r>
        <w:t xml:space="preserve">Adopt these premises:</w:t>
      </w:r>
    </w:p>
    <w:p>
      <w:pPr>
        <w:pStyle w:val="Compact"/>
        <w:numPr>
          <w:ilvl w:val="0"/>
          <w:numId w:val="1002"/>
        </w:numPr>
      </w:pPr>
      <w:r>
        <w:t xml:space="preserve">God presently sustains created actuality, depends on nothing for his actuality, and is unlimited in the respect in which creatures are bounded.</w:t>
      </w:r>
    </w:p>
    <w:p>
      <w:pPr>
        <w:pStyle w:val="Compact"/>
        <w:numPr>
          <w:ilvl w:val="0"/>
          <w:numId w:val="1002"/>
        </w:numPr>
      </w:pPr>
      <w:r>
        <w:t xml:space="preserve">Sustaining causation grounds the effect’s actuality in its cause; proper intrinsic constituents ground the actuality of the whole they constitute.</w:t>
      </w:r>
    </w:p>
    <w:p>
      <w:pPr>
        <w:pStyle w:val="Compact"/>
        <w:numPr>
          <w:ilvl w:val="0"/>
          <w:numId w:val="1002"/>
        </w:numPr>
      </w:pPr>
      <w:r>
        <w:t xml:space="preserve">An intrinsic constituent cannot exceed its whole in the relevant capacity for actuality.</w:t>
      </w:r>
    </w:p>
    <w:p>
      <w:pPr>
        <w:pStyle w:val="FirstParagraph"/>
      </w:pPr>
      <w:r>
        <w:t xml:space="preserve">Why adopt them?</w:t>
      </w:r>
    </w:p>
    <w:p>
      <w:pPr>
        <w:pStyle w:val="BodyText"/>
      </w:pPr>
      <w:r>
        <w:t xml:space="preserve">Producing or sustaining something explains its actuality without making the producer its material. Constitution has a different explanatory direction: the whole possesses its actuality through its constituents. Confusing these directions would turn every cause into a component. The third premise adds a substantive constraint on what a bounded whole can intrinsically contain; it is not a consequence of mere part-whole vocabulary.</w:t>
      </w:r>
    </w:p>
    <w:p>
      <w:pPr>
        <w:pStyle w:val="BodyText"/>
      </w:pPr>
      <w:r>
        <w:t xml:space="preserve">What follows if they hold?</w:t>
      </w:r>
    </w:p>
    <w:p>
      <w:pPr>
        <w:pStyle w:val="BodyText"/>
      </w:pPr>
      <w:r>
        <w:t xml:space="preserve">Created actuality can be continuously from God while remaining distinct. Constitutive dependence excludes a creature as a part of the underived God; the capacity constraint excludes unlimited God as a constituent of a bounded creature.</w:t>
      </w:r>
    </w:p>
    <w:p>
      <w:pPr>
        <w:pStyle w:val="BodyText"/>
      </w:pPr>
      <w:r>
        <w:t xml:space="preserve">What remains to defend: These are conditional consequences of the source profile and two constitution principles, not a demonstration that every cause communicates without division.</w:t>
      </w:r>
    </w:p>
    <w:p>
      <w:pPr>
        <w:pStyle w:val="BodyText"/>
      </w:pPr>
      <w:hyperlink r:id="rId91">
        <w:r>
          <w:rPr>
            <w:rStyle w:val="Hyperlink"/>
          </w:rPr>
          <w:t xml:space="preserve">Participation as real possession</w:t>
        </w:r>
      </w:hyperlink>
      <w:r>
        <w:t xml:space="preserve"> </w:t>
      </w:r>
      <w:r>
        <w:t xml:space="preserve">·</w:t>
      </w:r>
      <w:r>
        <w:t xml:space="preserve"> </w:t>
      </w:r>
      <w:hyperlink r:id="rId92">
        <w:r>
          <w:rPr>
            <w:rStyle w:val="Hyperlink"/>
          </w:rPr>
          <w:t xml:space="preserve">The basis and constitution bridges</w:t>
        </w:r>
      </w:hyperlink>
      <w:r>
        <w:t xml:space="preserve"> </w:t>
      </w:r>
      <w:r>
        <w:t xml:space="preserve">·</w:t>
      </w:r>
      <w:r>
        <w:t xml:space="preserve"> </w:t>
      </w:r>
      <w:hyperlink r:id="rId93">
        <w:r>
          <w:rPr>
            <w:rStyle w:val="Hyperlink"/>
          </w:rPr>
          <w:t xml:space="preserve">Participation without partition</w:t>
        </w:r>
      </w:hyperlink>
    </w:p>
    <w:bookmarkEnd w:id="170"/>
    <w:bookmarkEnd w:id="171"/>
    <w:bookmarkStart w:id="173" w:name="Xcac339b6af8fb0bb0bf0596155e07b3f03cfecf"/>
    <w:p>
      <w:pPr>
        <w:pStyle w:val="Heading4"/>
      </w:pPr>
      <w:r>
        <w:t xml:space="preserve">2. If creatures are from God, in what sense can they genuinely be like God?</w:t>
      </w:r>
    </w:p>
    <w:p>
      <w:pPr>
        <w:pStyle w:val="FirstParagraph"/>
      </w:pPr>
      <w:r>
        <w:t xml:space="preserve">They can possess a real perfection whose positive content corresponds to perfection in their source, although its mode of possession differs. But being caused does not, by itself, establish that correspondence. Causation explains where a perfection comes from; likeness requires an additional principle of causal adequacy. The proposal applies that principle to the ultimate source, rather than requiring every instrument to possess the qualities of its effects.</w:t>
      </w:r>
    </w:p>
    <w:p>
      <w:pPr>
        <w:pStyle w:val="BodyText"/>
      </w:pPr>
      <w:r>
        <w:t xml:space="preserve">The positive content must be identified independently of effecthood. Exemplarism supplies one account of the bridge: an effect’s intelligible formation corresponds to the source’s understanding, so the likeness is grounded in what the effect is. The complete finite form need not be copied into God. A melody requires succession; its divine ground need not be a succession of divine notes. This reconstruction makes detached Forms unnecessary to the explanation without proving every alternative ontology false. Objective expression can obtain before an observer recognizes it; recognition and warranted knowledge remain further achievements.</w:t>
      </w:r>
    </w:p>
    <w:bookmarkStart w:id="172" w:name="Xc2c3f14e4f9c391e51a6d2991af581cdadb0919"/>
    <w:p>
      <w:pPr>
        <w:pStyle w:val="Heading5"/>
      </w:pPr>
      <w:r>
        <w:t xml:space="preserve">The premises behind this answer: Corresponding perfection in an ultimate cause</w:t>
      </w:r>
    </w:p>
    <w:p>
      <w:pPr>
        <w:pStyle w:val="FirstParagraph"/>
      </w:pPr>
      <w:r>
        <w:t xml:space="preserve">Adds causal adequacy to causation and dependence; the source interpretation of each positive perfection must also be defended.</w:t>
      </w:r>
    </w:p>
    <w:p>
      <w:pPr>
        <w:pStyle w:val="BodyText"/>
      </w:pPr>
      <w:r>
        <w:t xml:space="preserve">Adopt these premises:</w:t>
      </w:r>
    </w:p>
    <w:p>
      <w:pPr>
        <w:pStyle w:val="Compact"/>
        <w:numPr>
          <w:ilvl w:val="0"/>
          <w:numId w:val="1003"/>
        </w:numPr>
      </w:pPr>
      <w:r>
        <w:t xml:space="preserve">Identify the positive content independently of its being caused, and distinguish it from a complete finite-kind description: achieved understanding, for example, differs from the receptive history of learning.</w:t>
      </w:r>
    </w:p>
    <w:p>
      <w:pPr>
        <w:pStyle w:val="Compact"/>
        <w:numPr>
          <w:ilvl w:val="0"/>
          <w:numId w:val="1003"/>
        </w:numPr>
      </w:pPr>
      <w:r>
        <w:t xml:space="preserve">Where the ultimate source fully grounds that positive actuality, the source possesses corresponding perfection actually, under a source-appropriate mode, rather than merely having the ability to produce it.</w:t>
      </w:r>
    </w:p>
    <w:p>
      <w:pPr>
        <w:pStyle w:val="FirstParagraph"/>
      </w:pPr>
      <w:r>
        <w:t xml:space="preserve">Why adopt them?</w:t>
      </w:r>
    </w:p>
    <w:p>
      <w:pPr>
        <w:pStyle w:val="BodyText"/>
      </w:pPr>
      <w:r>
        <w:t xml:space="preserve">The proposal asks the ultimate explanation to account for what is positively realized, not only the fact that an event occurs. An instrument can transmit a perfection it does not possess in the relevant mode because other actualities explain its operation. An ultimate source cannot defer the whole explanatory burden indefinitely to such instruments. Correspondence permits difference of mode: causing understanding does not require a biological brain or discursive learning in God.</w:t>
      </w:r>
    </w:p>
    <w:p>
      <w:pPr>
        <w:pStyle w:val="BodyText"/>
      </w:pPr>
      <w:r>
        <w:t xml:space="preserve">Source-related intelligible formation provides a positive account of the correspondence. On an exemplar account, the source understands the form it gives actuality to; the creature realizes that intelligible form under its own conditions. A causal relation alone does not supply this additional explanatory relation.</w:t>
      </w:r>
    </w:p>
    <w:p>
      <w:pPr>
        <w:pStyle w:val="BodyText"/>
      </w:pPr>
      <w:r>
        <w:t xml:space="preserve">What follows if they hold?</w:t>
      </w:r>
    </w:p>
    <w:p>
      <w:pPr>
        <w:pStyle w:val="BodyText"/>
      </w:pPr>
      <w:r>
        <w:t xml:space="preserve">A creature can bear an actual, received likeness. Its perfection has an intelligible source without requiring a detached Form between source and creature.</w:t>
      </w:r>
    </w:p>
    <w:p>
      <w:pPr>
        <w:pStyle w:val="BodyText"/>
      </w:pPr>
      <w:r>
        <w:t xml:space="preserve">What remains to defend: This is a substantive causal-adequacy commitment, not a theorem of causation alone. Each positive content and its source interpretation still needs defense.</w:t>
      </w:r>
    </w:p>
    <w:p>
      <w:pPr>
        <w:pStyle w:val="BodyText"/>
      </w:pPr>
      <w:hyperlink r:id="rId92">
        <w:r>
          <w:rPr>
            <w:rStyle w:val="Hyperlink"/>
          </w:rPr>
          <w:t xml:space="preserve">Causal adequacy and realized perfection</w:t>
        </w:r>
      </w:hyperlink>
      <w:r>
        <w:t xml:space="preserve"> </w:t>
      </w:r>
      <w:r>
        <w:t xml:space="preserve">·</w:t>
      </w:r>
      <w:r>
        <w:t xml:space="preserve"> </w:t>
      </w:r>
      <w:hyperlink r:id="rId100">
        <w:r>
          <w:rPr>
            <w:rStyle w:val="Hyperlink"/>
          </w:rPr>
          <w:t xml:space="preserve">Historical resources for likeness</w:t>
        </w:r>
      </w:hyperlink>
    </w:p>
    <w:bookmarkEnd w:id="172"/>
    <w:bookmarkEnd w:id="173"/>
    <w:bookmarkStart w:id="175" w:name="Xffcc54e0be6999e4f1e0c8f04b4fcf389d826b8"/>
    <w:p>
      <w:pPr>
        <w:pStyle w:val="Heading4"/>
      </w:pPr>
      <w:r>
        <w:t xml:space="preserve">3. How can a creature genuinely resemble God without sharing God’s mode of being or a common genus?</w:t>
      </w:r>
    </w:p>
    <w:p>
      <w:pPr>
        <w:pStyle w:val="FirstParagraph"/>
      </w:pPr>
      <w:r>
        <w:t xml:space="preserve">A perfection can correspond without being possessed in the same way. A creature receives actuality according to its capacity; the adopted divine source receives none of the actuality by which it exists. The finite measure characterizes reception, rather than becoming a limit on the source. Likewise, a finite judgment can be completely true in its stated respect without comprehending God: knowing that God exists does not mean possessing everything God is. Non-exhaustion is compatible with truthful access.</w:t>
      </w:r>
    </w:p>
    <w:p>
      <w:pPr>
        <w:pStyle w:val="BodyText"/>
      </w:pPr>
      <w:r>
        <w:t xml:space="preserve">Still, different modes alone do not prove that no common genus exists. The stricter conclusion needs a further account: membership in a natural genus would introduce distinct intrinsic constituting principles, and an absolutely underived source cannot depend on such principles. That account of genus requires independent defense. It concerns natural classification, rather than every shared predicate or intelligible concept. Scotus’s univocal concept of being cannot simply be dismissed as a common natural genus.</w:t>
      </w:r>
    </w:p>
    <w:bookmarkStart w:id="174" w:name="X2a7738daaaeb86a4b0d6ffd6ed1e8227fc5326c"/>
    <w:p>
      <w:pPr>
        <w:pStyle w:val="Heading5"/>
      </w:pPr>
      <w:r>
        <w:t xml:space="preserve">The premises behind this answer: Natural genus and intrinsic constitution</w:t>
      </w:r>
    </w:p>
    <w:p>
      <w:pPr>
        <w:pStyle w:val="FirstParagraph"/>
      </w:pPr>
      <w:r>
        <w:t xml:space="preserve">Adds the natural-genus principle N to the inherited underivation and constitution arguments.</w:t>
      </w:r>
    </w:p>
    <w:p>
      <w:pPr>
        <w:pStyle w:val="BodyText"/>
      </w:pPr>
      <w:r>
        <w:t xml:space="preserve">Adopt these premises:</w:t>
      </w:r>
    </w:p>
    <w:p>
      <w:pPr>
        <w:pStyle w:val="Compact"/>
        <w:numPr>
          <w:ilvl w:val="0"/>
          <w:numId w:val="1004"/>
        </w:numPr>
      </w:pPr>
      <w:r>
        <w:t xml:space="preserve">Corresponding perfection can be received and bounded in the creature while unreceived and unlimited in God.</w:t>
      </w:r>
    </w:p>
    <w:p>
      <w:pPr>
        <w:pStyle w:val="Compact"/>
        <w:numPr>
          <w:ilvl w:val="0"/>
          <w:numId w:val="1004"/>
        </w:numPr>
      </w:pPr>
      <w:r>
        <w:t xml:space="preserve">If natural genus-membership consists in an intrinsic common kind completed by a distinct intrinsic specific principle, both principles contribute to the member’s constitution.</w:t>
      </w:r>
    </w:p>
    <w:p>
      <w:pPr>
        <w:pStyle w:val="Compact"/>
        <w:numPr>
          <w:ilvl w:val="0"/>
          <w:numId w:val="1004"/>
        </w:numPr>
      </w:pPr>
      <w:r>
        <w:t xml:space="preserve">Proper intrinsic constituting principles ground a whole’s actuality; God is absolutely underived.</w:t>
      </w:r>
    </w:p>
    <w:p>
      <w:pPr>
        <w:pStyle w:val="FirstParagraph"/>
      </w:pPr>
      <w:r>
        <w:t xml:space="preserve">Why adopt them?</w:t>
      </w:r>
    </w:p>
    <w:p>
      <w:pPr>
        <w:pStyle w:val="BodyText"/>
      </w:pPr>
      <w:r>
        <w:t xml:space="preserve">A natural genus, on this account, identifies what a thing intrinsically is; its specific determination explains why it is this kind of member. Those contributions are stronger than two descriptions or a shared logical predicate. Treating them as real constituting principles therefore subjects them to the dependence argument. Mere likeness instead compares positive content without supplying a constituent through which God becomes actual.</w:t>
      </w:r>
    </w:p>
    <w:p>
      <w:pPr>
        <w:pStyle w:val="BodyText"/>
      </w:pPr>
      <w:r>
        <w:t xml:space="preserve">What follows if they hold?</w:t>
      </w:r>
    </w:p>
    <w:p>
      <w:pPr>
        <w:pStyle w:val="BodyText"/>
      </w:pPr>
      <w:r>
        <w:t xml:space="preserve">Likeness remains possible, while God cannot belong to a natural genus constituted in this way. The creature’s finite reception measures its own mode rather than setting God’s measure.</w:t>
      </w:r>
    </w:p>
    <w:p>
      <w:pPr>
        <w:pStyle w:val="BodyText"/>
      </w:pPr>
      <w:r>
        <w:t xml:space="preserve">What remains to defend: The genus analysis is an additional Aristotelian-style commitment. It neither excludes every shared concept nor refutes Scotus’s univocal concept of being.</w:t>
      </w:r>
    </w:p>
    <w:p>
      <w:pPr>
        <w:pStyle w:val="BodyText"/>
      </w:pPr>
      <w:hyperlink r:id="rId93">
        <w:r>
          <w:rPr>
            <w:rStyle w:val="Hyperlink"/>
          </w:rPr>
          <w:t xml:space="preserve">The additional genus principle</w:t>
        </w:r>
      </w:hyperlink>
      <w:r>
        <w:t xml:space="preserve"> </w:t>
      </w:r>
      <w:r>
        <w:t xml:space="preserve">·</w:t>
      </w:r>
      <w:r>
        <w:t xml:space="preserve"> </w:t>
      </w:r>
      <w:hyperlink r:id="rId107">
        <w:r>
          <w:rPr>
            <w:rStyle w:val="Hyperlink"/>
          </w:rPr>
          <w:t xml:space="preserve">Test the premises</w:t>
        </w:r>
      </w:hyperlink>
    </w:p>
    <w:bookmarkEnd w:id="174"/>
    <w:bookmarkEnd w:id="175"/>
    <w:bookmarkEnd w:id="176"/>
    <w:bookmarkEnd w:id="177"/>
    <w:p>
      <w:pPr>
        <w:pStyle w:val="Heading1"/>
      </w:pPr>
      <w:r>
        <w:t xml:space="preserve">Appendix B — formal-architecture.md</w:t>
      </w:r>
    </w:p>
    <w:p>
      <w:pPr>
        <w:pStyle w:val="FirstParagraph"/>
      </w:pPr>
      <w:r>
        <w:t xml:space="preserve">Original research file: https:/​/​participation-​6o4.​pages.​dev/​research/​formal-​architecture.​md</w:t>
      </w:r>
    </w:p>
    <w:bookmarkStart w:id="185" w:name="Xa279cf90ea70f8e2e94a7815c37625ce92f6566"/>
    <w:p>
      <w:pPr>
        <w:pStyle w:val="Heading2"/>
      </w:pPr>
      <w:r>
        <w:t xml:space="preserve">Minimal Generative Grammar of Participation: formal architecture</w:t>
      </w:r>
    </w:p>
    <w:p>
      <w:pPr>
        <w:pStyle w:val="FirstParagraph"/>
      </w:pPr>
      <w:r>
        <w:rPr>
          <w:b/>
          <w:bCs/>
        </w:rPr>
        <w:t xml:space="preserve">Status:</w:t>
      </w:r>
      <w:r>
        <w:t xml:space="preserve"> </w:t>
      </w:r>
      <w:r>
        <w:t xml:space="preserve">a new constructive reconstruction, not a proposition attributed to a historical author. Its proofs are short semantic consequences of stated assumptions; the independence witnesses are schematic mathematical models, not demonstrations that the corresponding metaphysical positions are true.</w:t>
      </w:r>
    </w:p>
    <w:bookmarkStart w:id="178" w:name="the-result-and-its-limit"/>
    <w:p>
      <w:pPr>
        <w:pStyle w:val="Heading3"/>
      </w:pPr>
      <w:r>
        <w:t xml:space="preserve">The result and its limit</w:t>
      </w:r>
    </w:p>
    <w:p>
      <w:pPr>
        <w:pStyle w:val="FirstParagraph"/>
      </w:pPr>
      <w:r>
        <w:t xml:space="preserve">The proposed three-part basis—actuality, received dependence, measure—does not suffice. An asymmetric dependency graph contains neither qualitative resemblance nor information about intrinsic constitution. A scalar measure cannot manufacture either. Underivation does not by itself entail infinity, and infinity does not entail freedom. Adding these conclusions to the meaning of</w:t>
      </w:r>
      <w:r>
        <w:t xml:space="preserve"> </w:t>
      </w:r>
      <w:r>
        <w:t xml:space="preserve">“</w:t>
      </w:r>
      <w:r>
        <w:t xml:space="preserve">source</w:t>
      </w:r>
      <w:r>
        <w:t xml:space="preserve">”</w:t>
      </w:r>
      <w:r>
        <w:t xml:space="preserve"> </w:t>
      </w:r>
      <w:r>
        <w:t xml:space="preserve">would conceal the problem.</w:t>
      </w:r>
    </w:p>
    <w:p>
      <w:pPr>
        <w:pStyle w:val="BodyText"/>
      </w:pPr>
      <w:r>
        <w:t xml:space="preserve">There is also no language-independent smallest number of primitives or axioms. A conjunction can package nine commitments as one; a suitably indexed relation can encode several predicates. The defensible result is</w:t>
      </w:r>
      <w:r>
        <w:t xml:space="preserve"> </w:t>
      </w:r>
      <w:r>
        <w:rPr>
          <w:b/>
          <w:bCs/>
        </w:rPr>
        <w:t xml:space="preserve">a source-specific basis in which each assumption contributes something the others do not supply, within an explicitly fixed language</w:t>
      </w:r>
      <w:r>
        <w:t xml:space="preserve">, with clearly identified extensions. It does not establish an absolute lower bound over every possible metaphysical language. Generic participation requires fewer assumptions about its source than the fuller Christian account does.</w:t>
      </w:r>
    </w:p>
    <w:bookmarkEnd w:id="178"/>
    <w:bookmarkStart w:id="179" w:name="language-categories-and-definitions"/>
    <w:p>
      <w:pPr>
        <w:pStyle w:val="Heading3"/>
      </w:pPr>
      <w:r>
        <w:t xml:space="preserve">Language, categories, and definitions</w:t>
      </w:r>
    </w:p>
    <w:p>
      <w:pPr>
        <w:pStyle w:val="FirstParagraph"/>
      </w:pPr>
      <w:r>
        <w:t xml:space="preserve">Use entities or actual intrinsic principles</w:t>
      </w:r>
      <w:r>
        <w:t xml:space="preserve"> </w:t>
      </w:r>
      <w:r>
        <w:rPr>
          <w:rStyle w:val="VerbatimChar"/>
        </w:rPr>
        <w:t xml:space="preserve">x,y</w:t>
      </w:r>
      <w:r>
        <w:t xml:space="preserve">; descriptive positive-perfection indices</w:t>
      </w:r>
      <w:r>
        <w:t xml:space="preserve"> </w:t>
      </w:r>
      <w:r>
        <w:rPr>
          <w:rStyle w:val="VerbatimChar"/>
        </w:rPr>
        <w:t xml:space="preserve">q</w:t>
      </w:r>
      <w:r>
        <w:t xml:space="preserve">; modes</w:t>
      </w:r>
      <w:r>
        <w:t xml:space="preserve"> </w:t>
      </w:r>
      <w:r>
        <w:rPr>
          <w:rStyle w:val="VerbatimChar"/>
        </w:rPr>
        <w:t xml:space="preserve">m</w:t>
      </w:r>
      <w:r>
        <w:t xml:space="preserve">; and possible situations</w:t>
      </w:r>
      <w:r>
        <w:t xml:space="preserve"> </w:t>
      </w:r>
      <w:r>
        <w:rPr>
          <w:rStyle w:val="VerbatimChar"/>
        </w:rPr>
        <w:t xml:space="preserve">w</w:t>
      </w:r>
      <w:r>
        <w:t xml:space="preserve">. Let</w:t>
      </w:r>
      <w:r>
        <w:t xml:space="preserve"> </w:t>
      </w:r>
      <w:r>
        <w:rPr>
          <w:rStyle w:val="VerbatimChar"/>
        </w:rPr>
        <w:t xml:space="preserve">e</w:t>
      </w:r>
      <w:r>
        <w:t xml:space="preserve"> </w:t>
      </w:r>
      <w:r>
        <w:t xml:space="preserve">index present existential actuality and let</w:t>
      </w:r>
      <w:r>
        <w:t xml:space="preserve"> </w:t>
      </w:r>
      <w:r>
        <w:rPr>
          <w:rStyle w:val="VerbatimChar"/>
        </w:rPr>
        <w:t xml:space="preserve">s</w:t>
      </w:r>
      <w:r>
        <w:t xml:space="preserve"> </w:t>
      </w:r>
      <w:r>
        <w:t xml:space="preserve">designate the proposed divine source. The five operational predicate families are:</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Primitive</w:t>
            </w:r>
          </w:p>
        </w:tc>
        <w:tc>
          <w:tcPr>
            <w:tcW w:type="dxa" w:w="7452"/>
            <w:shd w:fill="EAE5DA"/>
          </w:tcPr>
          <w:p>
            <w:pPr>
              <w:pStyle w:val="BodyText"/>
              <w:keepNext w:val="0"/>
              <w:spacing w:after="80" w:line="252" w:lineRule="auto"/>
              <w:jc w:val="left"/>
            </w:pPr>
            <w:r>
              <w:rPr>
                <w:rFonts w:ascii="Calibri" w:hAnsi="Calibri"/>
                <w:b/>
                <w:sz w:val="17"/>
              </w:rPr>
              <w:t xml:space="preserve">Meaning</w:t>
            </w:r>
          </w:p>
        </w:tc>
      </w:tr>
      <w:tr>
        <w:tc>
          <w:tcPr>
            <w:tcW w:type="dxa" w:w="2484"/>
          </w:tcPr>
          <w:p>
            <w:pPr>
              <w:pStyle w:val="BodyText"/>
              <w:keepNext w:val="0"/>
              <w:spacing w:after="80" w:line="252" w:lineRule="auto"/>
              <w:jc w:val="left"/>
            </w:pPr>
            <w:r>
              <w:rPr>
                <w:rStyle w:val="VerbatimChar"/>
                <w:sz w:val="17"/>
              </w:rPr>
              <w:t xml:space="preserve">C_w(y,x,q)</w:t>
            </w:r>
          </w:p>
        </w:tc>
        <w:tc>
          <w:tcPr>
            <w:tcW w:type="dxa" w:w="7452"/>
          </w:tcPr>
          <w:p>
            <w:pPr>
              <w:pStyle w:val="BodyText"/>
              <w:keepNext w:val="0"/>
              <w:spacing w:after="80" w:line="252" w:lineRule="auto"/>
              <w:jc w:val="left"/>
            </w:pPr>
            <w:r>
              <w:rPr>
                <w:rFonts w:ascii="Calibri" w:hAnsi="Calibri"/>
                <w:sz w:val="17"/>
              </w:rPr>
              <w:t xml:space="preserve">y productively causes or sustains x’s q-actualization at w.</w:t>
            </w:r>
          </w:p>
        </w:tc>
      </w:tr>
      <w:tr>
        <w:tc>
          <w:tcPr>
            <w:tcW w:type="dxa" w:w="2484"/>
          </w:tcPr>
          <w:p>
            <w:pPr>
              <w:pStyle w:val="BodyText"/>
              <w:keepNext w:val="0"/>
              <w:spacing w:after="80" w:line="252" w:lineRule="auto"/>
              <w:jc w:val="left"/>
            </w:pPr>
            <w:r>
              <w:rPr>
                <w:rStyle w:val="VerbatimChar"/>
                <w:sz w:val="17"/>
              </w:rPr>
              <w:t xml:space="preserve">D_w(x,y,r)</w:t>
            </w:r>
          </w:p>
        </w:tc>
        <w:tc>
          <w:tcPr>
            <w:tcW w:type="dxa" w:w="7452"/>
          </w:tcPr>
          <w:p>
            <w:pPr>
              <w:pStyle w:val="BodyText"/>
              <w:keepNext w:val="0"/>
              <w:spacing w:after="80" w:line="252" w:lineRule="auto"/>
              <w:jc w:val="left"/>
            </w:pPr>
            <w:r>
              <w:rPr>
                <w:rFonts w:ascii="Calibri" w:hAnsi="Calibri"/>
                <w:sz w:val="17"/>
              </w:rPr>
              <w:t xml:space="preserve">x ontologically depends on y in respect r at w.</w:t>
            </w:r>
          </w:p>
        </w:tc>
      </w:tr>
      <w:tr>
        <w:tc>
          <w:tcPr>
            <w:tcW w:type="dxa" w:w="2484"/>
          </w:tcPr>
          <w:p>
            <w:pPr>
              <w:pStyle w:val="BodyText"/>
              <w:keepNext w:val="0"/>
              <w:spacing w:after="80" w:line="252" w:lineRule="auto"/>
              <w:jc w:val="left"/>
            </w:pPr>
            <w:r>
              <w:rPr>
                <w:rStyle w:val="VerbatimChar"/>
                <w:sz w:val="17"/>
              </w:rPr>
              <w:t xml:space="preserve">H_w(x,q,m)</w:t>
            </w:r>
          </w:p>
        </w:tc>
        <w:tc>
          <w:tcPr>
            <w:tcW w:type="dxa" w:w="7452"/>
          </w:tcPr>
          <w:p>
            <w:pPr>
              <w:pStyle w:val="BodyText"/>
              <w:keepNext w:val="0"/>
              <w:spacing w:after="80" w:line="252" w:lineRule="auto"/>
              <w:jc w:val="left"/>
            </w:pPr>
            <w:r>
              <w:rPr>
                <w:rFonts w:ascii="Calibri" w:hAnsi="Calibri"/>
                <w:sz w:val="17"/>
              </w:rPr>
              <w:t xml:space="preserve">x realizes positive content q in mode m at w.</w:t>
            </w:r>
          </w:p>
        </w:tc>
      </w:tr>
      <w:tr>
        <w:tc>
          <w:tcPr>
            <w:tcW w:type="dxa" w:w="2484"/>
          </w:tcPr>
          <w:p>
            <w:pPr>
              <w:pStyle w:val="BodyText"/>
              <w:keepNext w:val="0"/>
              <w:spacing w:after="80" w:line="252" w:lineRule="auto"/>
              <w:jc w:val="left"/>
            </w:pPr>
            <w:r>
              <w:rPr>
                <w:rStyle w:val="VerbatimChar"/>
                <w:sz w:val="17"/>
              </w:rPr>
              <w:t xml:space="preserve">K_w(x,y)</w:t>
            </w:r>
          </w:p>
        </w:tc>
        <w:tc>
          <w:tcPr>
            <w:tcW w:type="dxa" w:w="7452"/>
          </w:tcPr>
          <w:p>
            <w:pPr>
              <w:pStyle w:val="BodyText"/>
              <w:keepNext w:val="0"/>
              <w:spacing w:after="80" w:line="252" w:lineRule="auto"/>
              <w:jc w:val="left"/>
            </w:pPr>
            <w:r>
              <w:rPr>
                <w:rFonts w:ascii="Calibri" w:hAnsi="Calibri"/>
                <w:sz w:val="17"/>
              </w:rPr>
              <w:t xml:space="preserve">x is a proper intrinsic constituent or constituting principle of y.</w:t>
            </w:r>
          </w:p>
        </w:tc>
      </w:tr>
      <w:tr>
        <w:tc>
          <w:tcPr>
            <w:tcW w:type="dxa" w:w="2484"/>
          </w:tcPr>
          <w:p>
            <w:pPr>
              <w:pStyle w:val="BodyText"/>
              <w:keepNext w:val="0"/>
              <w:spacing w:after="80" w:line="252" w:lineRule="auto"/>
              <w:jc w:val="left"/>
            </w:pPr>
            <w:r>
              <w:rPr>
                <w:rStyle w:val="VerbatimChar"/>
                <w:sz w:val="17"/>
              </w:rPr>
              <w:t xml:space="preserve">J_w(x)</w:t>
            </w:r>
          </w:p>
        </w:tc>
        <w:tc>
          <w:tcPr>
            <w:tcW w:type="dxa" w:w="7452"/>
          </w:tcPr>
          <w:p>
            <w:pPr>
              <w:pStyle w:val="BodyText"/>
              <w:keepNext w:val="0"/>
              <w:spacing w:after="80" w:line="252" w:lineRule="auto"/>
              <w:jc w:val="left"/>
            </w:pPr>
            <w:r>
              <w:rPr>
                <w:rFonts w:ascii="Calibri" w:hAnsi="Calibri"/>
                <w:sz w:val="17"/>
              </w:rPr>
              <w:t xml:space="preserve">x’s intrinsic constitution and qualitative actuality, as distinct from merely relational description.</w:t>
            </w:r>
          </w:p>
        </w:tc>
      </w:tr>
    </w:tbl>
    <w:p>
      <w:pPr>
        <w:pStyle w:val="BodyText"/>
      </w:pPr>
      <w:r>
        <w:rPr>
          <w:rStyle w:val="VerbatimChar"/>
        </w:rPr>
        <w:t xml:space="preserve">C</w:t>
      </w:r>
      <w:r>
        <w:t xml:space="preserve"> </w:t>
      </w:r>
      <w:r>
        <w:t xml:space="preserve">is not silently identified with</w:t>
      </w:r>
      <w:r>
        <w:t xml:space="preserve"> </w:t>
      </w:r>
      <w:r>
        <w:rPr>
          <w:rStyle w:val="VerbatimChar"/>
        </w:rPr>
        <w:t xml:space="preserve">D</w:t>
      </w:r>
      <w:r>
        <w:t xml:space="preserve">. Constitutional dependence is not efficient production.</w:t>
      </w:r>
      <w:r>
        <w:t xml:space="preserve"> </w:t>
      </w:r>
      <w:r>
        <w:rPr>
          <w:rStyle w:val="VerbatimChar"/>
        </w:rPr>
        <w:t xml:space="preserve">K</w:t>
      </w:r>
      <w:r>
        <w:t xml:space="preserve"> </w:t>
      </w:r>
      <w:r>
        <w:t xml:space="preserve">is not likeness, and</w:t>
      </w:r>
      <w:r>
        <w:t xml:space="preserve"> </w:t>
      </w:r>
      <w:r>
        <w:rPr>
          <w:rStyle w:val="VerbatimChar"/>
        </w:rPr>
        <w:t xml:space="preserve">H</w:t>
      </w:r>
      <w:r>
        <w:t xml:space="preserve"> </w:t>
      </w:r>
      <w:r>
        <w:t xml:space="preserve">is not epistemic evidence. These are ontological assertions, not claims about our ability to recognize their truth. Actuality is represented semantically within H; use the derived abbreviation</w:t>
      </w:r>
      <w:r>
        <w:t xml:space="preserve"> </w:t>
      </w:r>
      <w:r>
        <w:rPr>
          <w:rStyle w:val="VerbatimChar"/>
        </w:rPr>
        <w:t xml:space="preserve">A_w(x) := ∃m H_w(x,e,m)</w:t>
      </w:r>
      <w:r>
        <w:t xml:space="preserve">. There is no independent A-predicate to count twice. J independently represents the full intrinsic profile because selected positive-perfection realizations in H are not assumed to exhaust every intrinsic fact. If H/K are enriched to exhaust that profile, J becomes a definable convenience and should be deleted.</w:t>
      </w:r>
    </w:p>
    <w:p>
      <w:pPr>
        <w:pStyle w:val="BodyText"/>
      </w:pPr>
      <w:r>
        <w:t xml:space="preserve">The language additionally needs identity, quantification, world indexing, and a mode ordering. Those are disclosed resources, not conclusions produced by the five predicates. Modes are functionally indexed to a bearer and perfection: there is at most one complete mode for a given</w:t>
      </w:r>
      <w:r>
        <w:t xml:space="preserve"> </w:t>
      </w:r>
      <w:r>
        <w:rPr>
          <w:rStyle w:val="VerbatimChar"/>
        </w:rPr>
        <w:t xml:space="preserve">(w,x,q)</w:t>
      </w:r>
      <w:r>
        <w:t xml:space="preserve">. Let</w:t>
      </w:r>
      <w:r>
        <w:t xml:space="preserve"> </w:t>
      </w:r>
      <w:r>
        <w:rPr>
          <w:rStyle w:val="VerbatimChar"/>
        </w:rPr>
        <w:t xml:space="preserve">∞</w:t>
      </w:r>
      <w:r>
        <w:t xml:space="preserve"> </w:t>
      </w:r>
      <w:r>
        <w:t xml:space="preserve">mark absence of a finite upper bound and let every bounded mode lie strictly below it. The ordering represents realization-capacity in the relevant respect,</w:t>
      </w:r>
      <w:r>
        <w:t xml:space="preserve"> </w:t>
      </w:r>
      <w:r>
        <w:rPr>
          <w:b/>
          <w:bCs/>
        </w:rPr>
        <w:t xml:space="preserve">not a quantity of divine substance</w:t>
      </w:r>
      <w:r>
        <w:t xml:space="preserve">. Natural numbers plus</w:t>
      </w:r>
      <w:r>
        <w:t xml:space="preserve"> </w:t>
      </w:r>
      <w:r>
        <w:rPr>
          <w:rStyle w:val="VerbatimChar"/>
        </w:rPr>
        <w:t xml:space="preserve">∞</w:t>
      </w:r>
      <w:r>
        <w:t xml:space="preserve"> </w:t>
      </w:r>
      <w:r>
        <w:t xml:space="preserve">provide a toy interpretation, not a physical measurement of God.</w:t>
      </w:r>
    </w:p>
    <w:p>
      <w:pPr>
        <w:pStyle w:val="BodyText"/>
      </w:pPr>
      <w:r>
        <w:t xml:space="preserve">Perfection indices are descriptive indices, not independently existing exemplars. This convention does not refute Platonism. If independent Forms are alleged to be real productive sources, they must be represented as actual entities and tested against universal sustaining causality. Purely mathematical or causally inert abstract objects are not decided here. A proposed independent admissibility test is that q’s specified positive content need not entail deficiency or a bounded constitutive mode: knowing rather than acquiring information discursively, goodness rather than a privation, actuality rather than being-created. This test must be argued case by case; it is not</w:t>
      </w:r>
      <w:r>
        <w:t xml:space="preserve"> </w:t>
      </w:r>
      <w:r>
        <w:t xml:space="preserve">“</w:t>
      </w:r>
      <w:r>
        <w:t xml:space="preserve">whatever can be attributed to God.</w:t>
      </w:r>
      <w:r>
        <w:t xml:space="preserve">”</w:t>
      </w:r>
      <w:r>
        <w:t xml:space="preserve"> </w:t>
      </w:r>
      <w:r>
        <w:t xml:space="preserve">Biological life and divine life cannot be equated by replacing them with the same symbol. The interpretation and sufficiency of this criterion remain substantive open work, not achievements of the notation.</w:t>
      </w:r>
    </w:p>
    <w:p>
      <w:pPr>
        <w:pStyle w:val="BodyText"/>
      </w:pPr>
      <w:r>
        <w:t xml:space="preserve">All productive and dependency relations are factive: their relata have existential realization. Every other positive realization entails existential realization. Proper constituency is irreflexive and transitive. These are substantive background assumptions, not logical truths. Claims of nine-clause irredundance are relative to them; nine is not a count of every assumption. FS posits an actual proposed source</w:t>
      </w:r>
      <w:r>
        <w:t xml:space="preserve"> </w:t>
      </w:r>
      <w:r>
        <w:rPr>
          <w:rStyle w:val="VerbatimChar"/>
        </w:rPr>
        <w:t xml:space="preserve">s</w:t>
      </w:r>
      <w:r>
        <w:t xml:space="preserve">; there is no separate demonstration that such a source exists or that creation occurs.</w:t>
      </w:r>
    </w:p>
    <w:p>
      <w:pPr>
        <w:pStyle w:val="BodyText"/>
      </w:pPr>
      <w:r>
        <w:t xml:space="preserve">Define, without importing the target conclusions:</w:t>
      </w:r>
    </w:p>
    <w:p>
      <w:pPr>
        <w:pStyle w:val="Compact"/>
        <w:numPr>
          <w:ilvl w:val="0"/>
          <w:numId w:val="1005"/>
        </w:numPr>
      </w:pPr>
      <w:r>
        <w:rPr>
          <w:rStyle w:val="VerbatimChar"/>
        </w:rPr>
        <w:t xml:space="preserve">Rec_w(x,q,m,y) := C_w(y,x,q) ∧ H_w(x,q,m)</w:t>
      </w:r>
      <w:r>
        <w:t xml:space="preserve">.</w:t>
      </w:r>
    </w:p>
    <w:p>
      <w:pPr>
        <w:pStyle w:val="Compact"/>
        <w:numPr>
          <w:ilvl w:val="0"/>
          <w:numId w:val="1005"/>
        </w:numPr>
      </w:pPr>
      <w:r>
        <w:rPr>
          <w:rStyle w:val="VerbatimChar"/>
        </w:rPr>
        <w:t xml:space="preserve">L_w(x,y,q) := ∃m,n[H_w(x,q,m) ∧ H_w(y,q,n)]</w:t>
      </w:r>
      <w:r>
        <w:t xml:space="preserve">. This is shared positive content, not identity of mode, species, or essence.</w:t>
      </w:r>
    </w:p>
    <w:p>
      <w:pPr>
        <w:pStyle w:val="Compact"/>
        <w:numPr>
          <w:ilvl w:val="0"/>
          <w:numId w:val="1005"/>
        </w:numPr>
      </w:pPr>
      <w:r>
        <w:rPr>
          <w:rStyle w:val="VerbatimChar"/>
        </w:rPr>
        <w:t xml:space="preserve">P_w(x,y,q) := ∃m[Rec_w(x,q,m,y)] ∧ D_w(x,y,q)</w:t>
      </w:r>
      <w:r>
        <w:t xml:space="preserve">.</w:t>
      </w:r>
    </w:p>
    <w:p>
      <w:pPr>
        <w:pStyle w:val="Compact"/>
        <w:numPr>
          <w:ilvl w:val="0"/>
          <w:numId w:val="1005"/>
        </w:numPr>
      </w:pPr>
      <w:r>
        <w:rPr>
          <w:rStyle w:val="VerbatimChar"/>
        </w:rPr>
        <w:t xml:space="preserve">E_w(x,y,q) := P_w(x,y,q) ∧ L_w(x,y,q)</w:t>
      </w:r>
      <w:r>
        <w:t xml:space="preserve">; expressive participation adds positive likeness. Likeness is not contained in P and must be obtained from Q for source-participation.</w:t>
      </w:r>
    </w:p>
    <w:p>
      <w:pPr>
        <w:pStyle w:val="Compact"/>
        <w:numPr>
          <w:ilvl w:val="0"/>
          <w:numId w:val="1005"/>
        </w:numPr>
      </w:pPr>
      <w:r>
        <w:rPr>
          <w:rStyle w:val="VerbatimChar"/>
        </w:rPr>
        <w:t xml:space="preserve">U_w(y) := ¬∃x,r D_w(y,x,r)</w:t>
      </w:r>
      <w:r>
        <w:t xml:space="preserve">; underivation is a defined negative profile, not a primitive containing infinity or simplicity.</w:t>
      </w:r>
    </w:p>
    <w:p>
      <w:pPr>
        <w:pStyle w:val="Compact"/>
        <w:numPr>
          <w:ilvl w:val="0"/>
          <w:numId w:val="1005"/>
        </w:numPr>
      </w:pPr>
      <w:r>
        <w:t xml:space="preserve">Communication is productive realization of some positive content in another; expression adds real positive likeness as defined by E. Mere observer interpretation is insufficient for either.</w:t>
      </w:r>
    </w:p>
    <w:p>
      <w:pPr>
        <w:pStyle w:val="Compact"/>
        <w:numPr>
          <w:ilvl w:val="0"/>
          <w:numId w:val="1005"/>
        </w:numPr>
      </w:pPr>
      <w:r>
        <w:t xml:space="preserve">Exhaustion in q requires a receiver’s realization-capacity to reach that of its source. The capacity-order gives a</w:t>
      </w:r>
      <w:r>
        <w:t xml:space="preserve"> </w:t>
      </w:r>
      <w:r>
        <w:rPr>
          <w:b/>
          <w:bCs/>
        </w:rPr>
        <w:t xml:space="preserve">necessary</w:t>
      </w:r>
      <w:r>
        <w:t xml:space="preserve">, not sufficient, condition for an adequate total representation.</w:t>
      </w:r>
    </w:p>
    <w:p>
      <w:pPr>
        <w:pStyle w:val="Compact"/>
        <w:numPr>
          <w:ilvl w:val="0"/>
          <w:numId w:val="1005"/>
        </w:numPr>
      </w:pPr>
      <w:r>
        <w:t xml:space="preserve">Causal intimacy means present sustaining causality in existential actuality, not spatial proximity. Transcendence below means underivation and unbounded actuality, not remoteness.</w:t>
      </w:r>
    </w:p>
    <w:p>
      <w:pPr>
        <w:pStyle w:val="FirstParagraph"/>
      </w:pPr>
      <w:r>
        <w:t xml:space="preserve">Reception and participation therefore need not be primitive. Measure remains independent of a bare dependency graph: relabeling all its nodes with equal capacities leaves every edge unchanged. An elaborate modal dependence relation could encode capacity, but would retain its content under another name.</w:t>
      </w:r>
    </w:p>
    <w:bookmarkEnd w:id="179"/>
    <w:bookmarkStart w:id="180" w:name="nine-substantive-clauses"/>
    <w:p>
      <w:pPr>
        <w:pStyle w:val="Heading3"/>
      </w:pPr>
      <w:r>
        <w:t xml:space="preserve">Nine substantive clauses</w:t>
      </w:r>
    </w:p>
    <w:p>
      <w:pPr>
        <w:pStyle w:val="FirstParagraph"/>
      </w:pPr>
      <w:r>
        <w:t xml:space="preserve">Within the scoped ontology, every actual entity other than</w:t>
      </w:r>
      <w:r>
        <w:t xml:space="preserve"> </w:t>
      </w:r>
      <w:r>
        <w:rPr>
          <w:rStyle w:val="VerbatimChar"/>
        </w:rPr>
        <w:t xml:space="preserve">s</w:t>
      </w:r>
      <w:r>
        <w:t xml:space="preserve"> </w:t>
      </w:r>
      <w:r>
        <w:t xml:space="preserve">is a created actuality. This is a</w:t>
      </w:r>
      <w:r>
        <w:t xml:space="preserve"> </w:t>
      </w:r>
      <w:r>
        <w:rPr>
          <w:b/>
          <w:bCs/>
        </w:rPr>
        <w:t xml:space="preserve">universal sustaining-causality hypothesis</w:t>
      </w:r>
      <w:r>
        <w:t xml:space="preserve">, not a definition from which created dependence is magically deduced. Unknown or rival beings can be put into the domain and tested against it. The ontology models source and created being; it does not treat divine hypostases as three additional beings or decide subsistent Trinitarian relations, the Incarnation, or grace. These assumptions about the source neither derive nor refute those doctrines.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Label</w:t>
            </w:r>
          </w:p>
        </w:tc>
        <w:tc>
          <w:tcPr>
            <w:tcW w:type="dxa" w:w="7452"/>
            <w:shd w:fill="EAE5DA"/>
          </w:tcPr>
          <w:p>
            <w:pPr>
              <w:pStyle w:val="BodyText"/>
              <w:keepNext w:val="0"/>
              <w:spacing w:after="80" w:line="252" w:lineRule="auto"/>
              <w:jc w:val="left"/>
            </w:pPr>
            <w:r>
              <w:rPr>
                <w:rFonts w:ascii="Calibri" w:hAnsi="Calibri"/>
                <w:b/>
                <w:sz w:val="17"/>
              </w:rPr>
              <w:t xml:space="preserve">Independent commitment</w:t>
            </w:r>
          </w:p>
        </w:tc>
      </w:tr>
      <w:tr>
        <w:tc>
          <w:tcPr>
            <w:tcW w:type="dxa" w:w="2484"/>
          </w:tcPr>
          <w:p>
            <w:pPr>
              <w:pStyle w:val="BodyText"/>
              <w:keepNext w:val="0"/>
              <w:spacing w:after="80" w:line="252" w:lineRule="auto"/>
              <w:jc w:val="left"/>
            </w:pPr>
            <w:r>
              <w:rPr>
                <w:rFonts w:ascii="Calibri" w:hAnsi="Calibri"/>
                <w:sz w:val="17"/>
              </w:rPr>
              <w:t xml:space="preserve">G: universal sustaining causality</w:t>
            </w:r>
          </w:p>
        </w:tc>
        <w:tc>
          <w:tcPr>
            <w:tcW w:type="dxa" w:w="7452"/>
          </w:tcPr>
          <w:p>
            <w:pPr>
              <w:pStyle w:val="BodyText"/>
              <w:keepNext w:val="0"/>
              <w:spacing w:after="80" w:line="252" w:lineRule="auto"/>
              <w:jc w:val="left"/>
            </w:pPr>
            <w:r>
              <w:rPr>
                <w:rFonts w:ascii="Calibri" w:hAnsi="Calibri"/>
                <w:sz w:val="17"/>
              </w:rPr>
              <w:t xml:space="preserve">For every actual</w:t>
            </w:r>
            <w:r>
              <w:rPr>
                <w:rFonts w:ascii="Calibri" w:hAnsi="Calibri"/>
                <w:sz w:val="17"/>
              </w:rPr>
              <w:t xml:space="preserve"> </w:t>
            </w:r>
            <w:r>
              <w:rPr>
                <w:rStyle w:val="VerbatimChar"/>
                <w:sz w:val="17"/>
              </w:rPr>
              <w:t xml:space="preserve">x ≠ s</w:t>
            </w:r>
            <w:r>
              <w:rPr>
                <w:rFonts w:ascii="Calibri" w:hAnsi="Calibri"/>
                <w:sz w:val="17"/>
              </w:rPr>
              <w:t xml:space="preserve"> </w:t>
            </w:r>
            <w:r>
              <w:rPr>
                <w:rFonts w:ascii="Calibri" w:hAnsi="Calibri"/>
                <w:sz w:val="17"/>
              </w:rPr>
              <w:t xml:space="preserve">and every</w:t>
            </w:r>
            <w:r>
              <w:rPr>
                <w:rFonts w:ascii="Calibri" w:hAnsi="Calibri"/>
                <w:sz w:val="17"/>
              </w:rPr>
              <w:t xml:space="preserve"> </w:t>
            </w:r>
            <w:r>
              <w:rPr>
                <w:rStyle w:val="VerbatimChar"/>
                <w:sz w:val="17"/>
              </w:rPr>
              <w:t xml:space="preserve">H(x,q,m)</w:t>
            </w:r>
            <w:r>
              <w:rPr>
                <w:rFonts w:ascii="Calibri" w:hAnsi="Calibri"/>
                <w:sz w:val="17"/>
              </w:rPr>
              <w:t xml:space="preserve">,</w:t>
            </w:r>
            <w:r>
              <w:rPr>
                <w:rFonts w:ascii="Calibri" w:hAnsi="Calibri"/>
                <w:sz w:val="17"/>
              </w:rPr>
              <w:t xml:space="preserve"> </w:t>
            </w:r>
            <w:r>
              <w:rPr>
                <w:rStyle w:val="VerbatimChar"/>
                <w:sz w:val="17"/>
              </w:rPr>
              <w:t xml:space="preserve">C(s,x,q)</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CP: production entails dependence</w:t>
            </w:r>
          </w:p>
        </w:tc>
        <w:tc>
          <w:tcPr>
            <w:tcW w:type="dxa" w:w="7452"/>
          </w:tcPr>
          <w:p>
            <w:pPr>
              <w:pStyle w:val="BodyText"/>
              <w:keepNext w:val="0"/>
              <w:spacing w:after="80" w:line="252" w:lineRule="auto"/>
              <w:jc w:val="left"/>
            </w:pPr>
            <w:r>
              <w:rPr>
                <w:rStyle w:val="VerbatimChar"/>
                <w:sz w:val="17"/>
              </w:rPr>
              <w:t xml:space="preserve">C(y,x,q) → D(x,y,q)</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U: source underivation</w:t>
            </w:r>
          </w:p>
        </w:tc>
        <w:tc>
          <w:tcPr>
            <w:tcW w:type="dxa" w:w="7452"/>
          </w:tcPr>
          <w:p>
            <w:pPr>
              <w:pStyle w:val="BodyText"/>
              <w:keepNext w:val="0"/>
              <w:spacing w:after="80" w:line="252" w:lineRule="auto"/>
              <w:jc w:val="left"/>
            </w:pPr>
            <w:r>
              <w:rPr>
                <w:rStyle w:val="VerbatimChar"/>
                <w:sz w:val="17"/>
              </w:rPr>
              <w:t xml:space="preserve">¬∃y,r D(s,y,r)</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Q: qualitative source adequacy</w:t>
            </w:r>
          </w:p>
        </w:tc>
        <w:tc>
          <w:tcPr>
            <w:tcW w:type="dxa" w:w="7452"/>
          </w:tcPr>
          <w:p>
            <w:pPr>
              <w:pStyle w:val="BodyText"/>
              <w:keepNext w:val="0"/>
              <w:spacing w:after="80" w:line="252" w:lineRule="auto"/>
              <w:jc w:val="left"/>
            </w:pPr>
            <w:r>
              <w:rPr>
                <w:rStyle w:val="VerbatimChar"/>
                <w:sz w:val="17"/>
              </w:rPr>
              <w:t xml:space="preserve">C(s,x,q) ∧ H(x,q,m) → ∃n H(s,q,n)</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KD: constitution entails dependence</w:t>
            </w:r>
          </w:p>
        </w:tc>
        <w:tc>
          <w:tcPr>
            <w:tcW w:type="dxa" w:w="7452"/>
          </w:tcPr>
          <w:p>
            <w:pPr>
              <w:pStyle w:val="BodyText"/>
              <w:keepNext w:val="0"/>
              <w:spacing w:after="80" w:line="252" w:lineRule="auto"/>
              <w:jc w:val="left"/>
            </w:pPr>
            <w:r>
              <w:rPr>
                <w:rStyle w:val="VerbatimChar"/>
                <w:sz w:val="17"/>
              </w:rPr>
              <w:t xml:space="preserve">K(z,y) → D(y,z,e)</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KH: constitutional capacity inheritance</w:t>
            </w:r>
          </w:p>
        </w:tc>
        <w:tc>
          <w:tcPr>
            <w:tcW w:type="dxa" w:w="7452"/>
          </w:tcPr>
          <w:p>
            <w:pPr>
              <w:pStyle w:val="BodyText"/>
              <w:keepNext w:val="0"/>
              <w:spacing w:after="80" w:line="252" w:lineRule="auto"/>
              <w:jc w:val="left"/>
            </w:pPr>
            <w:r>
              <w:rPr>
                <w:rStyle w:val="VerbatimChar"/>
                <w:sz w:val="17"/>
              </w:rPr>
              <w:t xml:space="preserve">K(z,y) ∧ H(z,e,m) ∧ H(y,e,n) → m ≤ n</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FS: source unboundedness</w:t>
            </w:r>
          </w:p>
        </w:tc>
        <w:tc>
          <w:tcPr>
            <w:tcW w:type="dxa" w:w="7452"/>
          </w:tcPr>
          <w:p>
            <w:pPr>
              <w:pStyle w:val="BodyText"/>
              <w:keepNext w:val="0"/>
              <w:spacing w:after="80" w:line="252" w:lineRule="auto"/>
              <w:jc w:val="left"/>
            </w:pPr>
            <w:r>
              <w:rPr>
                <w:rStyle w:val="VerbatimChar"/>
                <w:sz w:val="17"/>
              </w:rPr>
              <w:t xml:space="preserve">H(s,e,∞)</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FC: created finitude</w:t>
            </w:r>
          </w:p>
        </w:tc>
        <w:tc>
          <w:tcPr>
            <w:tcW w:type="dxa" w:w="7452"/>
          </w:tcPr>
          <w:p>
            <w:pPr>
              <w:pStyle w:val="BodyText"/>
              <w:keepNext w:val="0"/>
              <w:spacing w:after="80" w:line="252" w:lineRule="auto"/>
              <w:jc w:val="left"/>
            </w:pPr>
            <w:r>
              <w:rPr>
                <w:rFonts w:ascii="Calibri" w:hAnsi="Calibri"/>
                <w:sz w:val="17"/>
              </w:rPr>
              <w:t xml:space="preserve">Every existential mode</w:t>
            </w:r>
            <w:r>
              <w:rPr>
                <w:rFonts w:ascii="Calibri" w:hAnsi="Calibri"/>
                <w:sz w:val="17"/>
              </w:rPr>
              <w:t xml:space="preserve"> </w:t>
            </w:r>
            <w:r>
              <w:rPr>
                <w:rStyle w:val="VerbatimChar"/>
                <w:sz w:val="17"/>
              </w:rPr>
              <w:t xml:space="preserve">H(x,e,m)</w:t>
            </w:r>
            <w:r>
              <w:rPr>
                <w:rFonts w:ascii="Calibri" w:hAnsi="Calibri"/>
                <w:sz w:val="17"/>
              </w:rPr>
              <w:t xml:space="preserve"> </w:t>
            </w:r>
            <w:r>
              <w:rPr>
                <w:rFonts w:ascii="Calibri" w:hAnsi="Calibri"/>
                <w:sz w:val="17"/>
              </w:rPr>
              <w:t xml:space="preserve">of an actual</w:t>
            </w:r>
            <w:r>
              <w:rPr>
                <w:rFonts w:ascii="Calibri" w:hAnsi="Calibri"/>
                <w:sz w:val="17"/>
              </w:rPr>
              <w:t xml:space="preserve"> </w:t>
            </w:r>
            <w:r>
              <w:rPr>
                <w:rStyle w:val="VerbatimChar"/>
                <w:sz w:val="17"/>
              </w:rPr>
              <w:t xml:space="preserve">x ≠ s</w:t>
            </w:r>
            <w:r>
              <w:rPr>
                <w:rFonts w:ascii="Calibri" w:hAnsi="Calibri"/>
                <w:sz w:val="17"/>
              </w:rPr>
              <w:t xml:space="preserve"> </w:t>
            </w:r>
            <w:r>
              <w:rPr>
                <w:rFonts w:ascii="Calibri" w:hAnsi="Calibri"/>
                <w:sz w:val="17"/>
              </w:rPr>
              <w:t xml:space="preserve">is bounded.</w:t>
            </w:r>
          </w:p>
        </w:tc>
      </w:tr>
      <w:tr>
        <w:tc>
          <w:tcPr>
            <w:tcW w:type="dxa" w:w="2484"/>
          </w:tcPr>
          <w:p>
            <w:pPr>
              <w:pStyle w:val="BodyText"/>
              <w:keepNext w:val="0"/>
              <w:spacing w:after="80" w:line="252" w:lineRule="auto"/>
              <w:jc w:val="left"/>
            </w:pPr>
            <w:r>
              <w:rPr>
                <w:rFonts w:ascii="Calibri" w:hAnsi="Calibri"/>
                <w:sz w:val="17"/>
              </w:rPr>
              <w:t xml:space="preserve">X: unchanged source across creation alternatives</w:t>
            </w:r>
          </w:p>
        </w:tc>
        <w:tc>
          <w:tcPr>
            <w:tcW w:type="dxa" w:w="7452"/>
          </w:tcPr>
          <w:p>
            <w:pPr>
              <w:pStyle w:val="BodyText"/>
              <w:keepNext w:val="0"/>
              <w:spacing w:after="80" w:line="252" w:lineRule="auto"/>
              <w:jc w:val="left"/>
            </w:pPr>
            <w:r>
              <w:rPr>
                <w:rFonts w:ascii="Calibri" w:hAnsi="Calibri"/>
                <w:sz w:val="17"/>
              </w:rPr>
              <w:t xml:space="preserve">Across admitted situations, differences in the source’s created effects and its relations to them add no difference to</w:t>
            </w:r>
            <w:r>
              <w:rPr>
                <w:rFonts w:ascii="Calibri" w:hAnsi="Calibri"/>
                <w:sz w:val="17"/>
              </w:rPr>
              <w:t xml:space="preserve"> </w:t>
            </w:r>
            <w:r>
              <w:rPr>
                <w:rStyle w:val="VerbatimChar"/>
                <w:sz w:val="17"/>
              </w:rPr>
              <w:t xml:space="preserve">J(s)</w:t>
            </w:r>
            <w:r>
              <w:rPr>
                <w:rFonts w:ascii="Calibri" w:hAnsi="Calibri"/>
                <w:sz w:val="17"/>
              </w:rPr>
              <w:t xml:space="preserve">.</w:t>
            </w:r>
          </w:p>
        </w:tc>
      </w:tr>
    </w:tbl>
    <w:p>
      <w:pPr>
        <w:pStyle w:val="BodyText"/>
      </w:pPr>
      <w:r>
        <w:t xml:space="preserve">G, U, FS, and FC are substantive assumptions about the divine source and created recipients. They do not follow from generic participation. CP, Q, KD, and KH are bridges between independently interpreted categories. X is an additional modal commitment about intrinsic actuality, needed for the strongest mixed-relation account; omit it from a merely static core. X does</w:t>
      </w:r>
      <w:r>
        <w:t xml:space="preserve"> </w:t>
      </w:r>
      <w:r>
        <w:rPr>
          <w:b/>
          <w:bCs/>
        </w:rPr>
        <w:t xml:space="preserve">not</w:t>
      </w:r>
      <w:r>
        <w:t xml:space="preserve"> </w:t>
      </w:r>
      <w:r>
        <w:t xml:space="preserve">stipulate identical object-directed intention in different worlds: it distinguishes intrinsic qualitative actuality from object-relative determination. Whether this distinction adequately models willing is a further theological problem.</w:t>
      </w:r>
    </w:p>
    <w:p>
      <w:pPr>
        <w:pStyle w:val="BodyText"/>
      </w:pPr>
      <w:r>
        <w:t xml:space="preserve">Q deliberately does not include a universal inequality between cause and effect modes. Such an inequality would imply that an unlimited source could not depend productively on a bounded cause, rather than supplying a neutral likeness bridge. The present Q is restricted to the proposed source; it does not require every instrument to intrinsically exhibit every positive effect-perfection. It asserts genuinely shared positive source-content, under potentially different modes, and must receive an analogical interpretation warranted by the historical evidence. FS and FC concern existential actuality e. For unrestricted perfection-by-perfection nonexhaustion, separately extend them to every relevant q. Those all-q profiles are not derived merely by labeling arbitrary H-predicates</w:t>
      </w:r>
      <w:r>
        <w:t xml:space="preserve"> </w:t>
      </w:r>
      <w:r>
        <w:t xml:space="preserve">“</w:t>
      </w:r>
      <w:r>
        <w:t xml:space="preserve">perfections.</w:t>
      </w:r>
      <w:r>
        <w:t xml:space="preserve">”</w:t>
      </w:r>
    </w:p>
    <w:p>
      <w:pPr>
        <w:pStyle w:val="BodyText"/>
      </w:pPr>
      <w:r>
        <w:t xml:space="preserve">Likewise, generic asymmetry is not an extra axiom here. CP and U already yield asymmetric source–effect dependence. A global prohibition on cycles between other entities would be an additional theory of grounding, not needed for these source-specific theorems.</w:t>
      </w:r>
    </w:p>
    <w:bookmarkEnd w:id="180"/>
    <w:bookmarkStart w:id="181" w:name="derivation-tree-and-theorem-status"/>
    <w:p>
      <w:pPr>
        <w:pStyle w:val="Heading3"/>
      </w:pPr>
      <w:r>
        <w:t xml:space="preserve">Derivation tree and theorem status</w:t>
      </w:r>
    </w:p>
    <w:p>
      <w:pPr>
        <w:pStyle w:val="FirstParagraph"/>
      </w:pPr>
      <w:r>
        <w:t xml:space="preserve">First, G and CP give</w:t>
      </w:r>
      <w:r>
        <w:t xml:space="preserve"> </w:t>
      </w:r>
      <w:r>
        <w:rPr>
          <w:rStyle w:val="VerbatimChar"/>
        </w:rPr>
        <w:t xml:space="preserve">D(x,s,q)</w:t>
      </w:r>
      <w:r>
        <w:t xml:space="preserve"> </w:t>
      </w:r>
      <w:r>
        <w:t xml:space="preserve">for every realized created perfection. U forbids</w:t>
      </w:r>
      <w:r>
        <w:t xml:space="preserve"> </w:t>
      </w:r>
      <w:r>
        <w:rPr>
          <w:rStyle w:val="VerbatimChar"/>
        </w:rPr>
        <w:t xml:space="preserve">D(s,x,r)</w:t>
      </w:r>
      <w:r>
        <w:t xml:space="preserve"> </w:t>
      </w:r>
      <w:r>
        <w:t xml:space="preserve">in every respect. If a purported effect of s were s itself, CP would contradict U. Thus source and effect are genuinely distinct and dependence is asymmetric.</w:t>
      </w:r>
    </w:p>
    <w:p>
      <w:pPr>
        <w:pStyle w:val="BodyText"/>
      </w:pPr>
      <w:r>
        <w:t xml:space="preserve">Second, G and Q give</w:t>
      </w:r>
      <w:r>
        <w:t xml:space="preserve"> </w:t>
      </w:r>
      <w:r>
        <w:rPr>
          <w:rStyle w:val="VerbatimChar"/>
        </w:rPr>
        <w:t xml:space="preserve">H(s,q,n)</w:t>
      </w:r>
      <w:r>
        <w:t xml:space="preserve"> </w:t>
      </w:r>
      <w:r>
        <w:t xml:space="preserve">for every positive created realization</w:t>
      </w:r>
      <w:r>
        <w:t xml:space="preserve"> </w:t>
      </w:r>
      <w:r>
        <w:rPr>
          <w:rStyle w:val="VerbatimChar"/>
        </w:rPr>
        <w:t xml:space="preserve">H(x,q,m)</w:t>
      </w:r>
      <w:r>
        <w:t xml:space="preserve">. For existential actuality e, FS fixes</w:t>
      </w:r>
      <w:r>
        <w:t xml:space="preserve"> </w:t>
      </w:r>
      <w:r>
        <w:rPr>
          <w:rStyle w:val="VerbatimChar"/>
        </w:rPr>
        <w:t xml:space="preserve">n=∞</w:t>
      </w:r>
      <w:r>
        <w:t xml:space="preserve">; FC makes</w:t>
      </w:r>
      <w:r>
        <w:t xml:space="preserve"> </w:t>
      </w:r>
      <w:r>
        <w:rPr>
          <w:rStyle w:val="VerbatimChar"/>
        </w:rPr>
        <w:t xml:space="preserve">m&lt;∞</w:t>
      </w:r>
      <w:r>
        <w:t xml:space="preserve">. This proves positive likeness and, in e, unlike modes and a strict failure of the necessary condition for exhaustive representation. It does not show that finite language comprehends the source’s mode. For any other q the capacity conclusion is conditional on the corresponding unbounded-source/bounded-recipient profile.</w:t>
      </w:r>
    </w:p>
    <w:p>
      <w:pPr>
        <w:pStyle w:val="BodyText"/>
      </w:pPr>
      <w:r>
        <w:t xml:space="preserve">Third, KD and U imply that s has no proper actual intrinsic constituent: any such constituent would ground a source-dependence. This is the stated notion of simplicity, not a proof that every conceptual or formal distinction is composition. If s were a constituent of x, KH would require</w:t>
      </w:r>
      <w:r>
        <w:t xml:space="preserve"> </w:t>
      </w:r>
      <w:r>
        <w:rPr>
          <w:rStyle w:val="VerbatimChar"/>
        </w:rPr>
        <w:t xml:space="preserve">∞ ≤ m_x</w:t>
      </w:r>
      <w:r>
        <w:t xml:space="preserve">; FC contradicts this. Therefore neither a created entity in s nor s in a creature is an intrinsic component.</w:t>
      </w:r>
    </w:p>
    <w:p>
      <w:pPr>
        <w:pStyle w:val="SourceCode"/>
      </w:pPr>
      <w:r>
        <w:rPr>
          <w:rStyle w:val="VerbatimChar"/>
        </w:rPr>
        <w:t xml:space="preserve">G + CP + U ── asymmetric dependence and nonidentity</w:t>
      </w:r>
      <w:r>
        <w:br/>
      </w:r>
      <w:r>
        <w:rPr>
          <w:rStyle w:val="VerbatimChar"/>
        </w:rPr>
        <w:t xml:space="preserve">G + Q ─────── positive causal likeness</w:t>
      </w:r>
      <w:r>
        <w:br/>
      </w:r>
      <w:r>
        <w:rPr>
          <w:rStyle w:val="VerbatimChar"/>
        </w:rPr>
        <w:t xml:space="preserve">G + Q + FS + FC ── finite, nonexhaustive expression</w:t>
      </w:r>
      <w:r>
        <w:br/>
      </w:r>
      <w:r>
        <w:rPr>
          <w:rStyle w:val="VerbatimChar"/>
        </w:rPr>
        <w:t xml:space="preserve">KD + U ────── no intrinsic constituents in the source</w:t>
      </w:r>
      <w:r>
        <w:br/>
      </w:r>
      <w:r>
        <w:rPr>
          <w:rStyle w:val="VerbatimChar"/>
        </w:rPr>
        <w:t xml:space="preserve">KH + FS + FC ── source not an intrinsic constituent of a creature</w:t>
      </w:r>
      <w:r>
        <w:br/>
      </w:r>
      <w:r>
        <w:rPr>
          <w:rStyle w:val="VerbatimChar"/>
        </w:rPr>
        <w:t xml:space="preserve">these branches together ── nonpartitioned causal participation</w:t>
      </w:r>
      <w:r>
        <w:br/>
      </w:r>
      <w:r>
        <w:rPr>
          <w:rStyle w:val="VerbatimChar"/>
        </w:rPr>
        <w:t xml:space="preserve">above + X ─── changing effects without source-constitution</w:t>
      </w:r>
      <w:r>
        <w:br/>
      </w:r>
      <w:r>
        <w:rPr>
          <w:rStyle w:val="VerbatimChar"/>
        </w:rPr>
        <w:t xml:space="preserve">above + N ─── no shared natural genus in the essentialist sense</w:t>
      </w:r>
      <w:r>
        <w:br/>
      </w:r>
      <w:r>
        <w:rPr>
          <w:rStyle w:val="VerbatimChar"/>
        </w:rPr>
        <w:t xml:space="preserve">above + alternatives + intentional selection ── scope for free creation</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Target</w:t>
            </w:r>
          </w:p>
        </w:tc>
        <w:tc>
          <w:tcPr>
            <w:tcW w:type="dxa" w:w="7452"/>
            <w:shd w:fill="EAE5DA"/>
          </w:tcPr>
          <w:p>
            <w:pPr>
              <w:pStyle w:val="BodyText"/>
              <w:keepNext w:val="0"/>
              <w:spacing w:after="80" w:line="252" w:lineRule="auto"/>
              <w:jc w:val="left"/>
            </w:pPr>
            <w:r>
              <w:rPr>
                <w:rFonts w:ascii="Calibri" w:hAnsi="Calibri"/>
                <w:b/>
                <w:sz w:val="17"/>
              </w:rPr>
              <w:t xml:space="preserve">What is obtained</w:t>
            </w:r>
          </w:p>
        </w:tc>
      </w:tr>
      <w:tr>
        <w:tc>
          <w:tcPr>
            <w:tcW w:type="dxa" w:w="2484"/>
          </w:tcPr>
          <w:p>
            <w:pPr>
              <w:pStyle w:val="BodyText"/>
              <w:keepNext w:val="0"/>
              <w:spacing w:after="80" w:line="252" w:lineRule="auto"/>
              <w:jc w:val="left"/>
            </w:pPr>
            <w:r>
              <w:rPr>
                <w:rFonts w:ascii="Calibri" w:hAnsi="Calibri"/>
                <w:sz w:val="17"/>
              </w:rPr>
              <w:t xml:space="preserve">T1 Participation without partition</w:t>
            </w:r>
          </w:p>
        </w:tc>
        <w:tc>
          <w:tcPr>
            <w:tcW w:type="dxa" w:w="7452"/>
          </w:tcPr>
          <w:p>
            <w:pPr>
              <w:pStyle w:val="BodyText"/>
              <w:keepNext w:val="0"/>
              <w:spacing w:after="80" w:line="252" w:lineRule="auto"/>
              <w:jc w:val="left"/>
            </w:pPr>
            <w:r>
              <w:rPr>
                <w:rFonts w:ascii="Calibri" w:hAnsi="Calibri"/>
                <w:sz w:val="17"/>
              </w:rPr>
              <w:t xml:space="preserve">G/Q give participation; KD/U forbid divine proper parts; KH/FS/FC forbid divine material in a creature.</w:t>
            </w:r>
          </w:p>
        </w:tc>
      </w:tr>
      <w:tr>
        <w:tc>
          <w:tcPr>
            <w:tcW w:type="dxa" w:w="2484"/>
          </w:tcPr>
          <w:p>
            <w:pPr>
              <w:pStyle w:val="BodyText"/>
              <w:keepNext w:val="0"/>
              <w:spacing w:after="80" w:line="252" w:lineRule="auto"/>
              <w:jc w:val="left"/>
            </w:pPr>
            <w:r>
              <w:rPr>
                <w:rFonts w:ascii="Calibri" w:hAnsi="Calibri"/>
                <w:sz w:val="17"/>
              </w:rPr>
              <w:t xml:space="preserve">T2 Likeness without identity</w:t>
            </w:r>
          </w:p>
        </w:tc>
        <w:tc>
          <w:tcPr>
            <w:tcW w:type="dxa" w:w="7452"/>
          </w:tcPr>
          <w:p>
            <w:pPr>
              <w:pStyle w:val="BodyText"/>
              <w:keepNext w:val="0"/>
              <w:spacing w:after="80" w:line="252" w:lineRule="auto"/>
              <w:jc w:val="left"/>
            </w:pPr>
            <w:r>
              <w:rPr>
                <w:rFonts w:ascii="Calibri" w:hAnsi="Calibri"/>
                <w:sz w:val="17"/>
              </w:rPr>
              <w:t xml:space="preserve">G/Q give likeness; CP/U forbid a source’s productive effect being itself.</w:t>
            </w:r>
          </w:p>
        </w:tc>
      </w:tr>
      <w:tr>
        <w:tc>
          <w:tcPr>
            <w:tcW w:type="dxa" w:w="2484"/>
          </w:tcPr>
          <w:p>
            <w:pPr>
              <w:pStyle w:val="BodyText"/>
              <w:keepNext w:val="0"/>
              <w:spacing w:after="80" w:line="252" w:lineRule="auto"/>
              <w:jc w:val="left"/>
            </w:pPr>
            <w:r>
              <w:rPr>
                <w:rFonts w:ascii="Calibri" w:hAnsi="Calibri"/>
                <w:sz w:val="17"/>
              </w:rPr>
              <w:t xml:space="preserve">T3 Likeness without common genus</w:t>
            </w:r>
          </w:p>
        </w:tc>
        <w:tc>
          <w:tcPr>
            <w:tcW w:type="dxa" w:w="7452"/>
          </w:tcPr>
          <w:p>
            <w:pPr>
              <w:pStyle w:val="BodyText"/>
              <w:keepNext w:val="0"/>
              <w:spacing w:after="80" w:line="252" w:lineRule="auto"/>
              <w:jc w:val="left"/>
            </w:pPr>
            <w:r>
              <w:rPr>
                <w:rFonts w:ascii="Calibri" w:hAnsi="Calibri"/>
                <w:sz w:val="17"/>
              </w:rPr>
              <w:t xml:space="preserve">Shared content does not entail genus. Actual exclusion of a natural genus additionally needs N below.</w:t>
            </w:r>
          </w:p>
        </w:tc>
      </w:tr>
      <w:tr>
        <w:tc>
          <w:tcPr>
            <w:tcW w:type="dxa" w:w="2484"/>
          </w:tcPr>
          <w:p>
            <w:pPr>
              <w:pStyle w:val="BodyText"/>
              <w:keepNext w:val="0"/>
              <w:spacing w:after="80" w:line="252" w:lineRule="auto"/>
              <w:jc w:val="left"/>
            </w:pPr>
            <w:r>
              <w:rPr>
                <w:rFonts w:ascii="Calibri" w:hAnsi="Calibri"/>
                <w:sz w:val="17"/>
              </w:rPr>
              <w:t xml:space="preserve">T4 Dependence without reciprocal completion</w:t>
            </w:r>
          </w:p>
        </w:tc>
        <w:tc>
          <w:tcPr>
            <w:tcW w:type="dxa" w:w="7452"/>
          </w:tcPr>
          <w:p>
            <w:pPr>
              <w:pStyle w:val="BodyText"/>
              <w:keepNext w:val="0"/>
              <w:spacing w:after="80" w:line="252" w:lineRule="auto"/>
              <w:jc w:val="left"/>
            </w:pPr>
            <w:r>
              <w:rPr>
                <w:rFonts w:ascii="Calibri" w:hAnsi="Calibri"/>
                <w:sz w:val="17"/>
              </w:rPr>
              <w:t xml:space="preserve">G/CP/U give real one-way dependence.</w:t>
            </w:r>
            <w:r>
              <w:rPr>
                <w:rFonts w:ascii="Calibri" w:hAnsi="Calibri"/>
                <w:sz w:val="17"/>
              </w:rPr>
              <w:t xml:space="preserve"> </w:t>
            </w:r>
            <w:r>
              <w:rPr>
                <w:rFonts w:ascii="Calibri" w:hAnsi="Calibri"/>
                <w:sz w:val="17"/>
              </w:rPr>
              <w:t xml:space="preserve">“</w:t>
            </w:r>
            <w:r>
              <w:rPr>
                <w:rFonts w:ascii="Calibri" w:hAnsi="Calibri"/>
                <w:sz w:val="17"/>
              </w:rPr>
              <w:t xml:space="preserve">Acquired from the effect</w:t>
            </w:r>
            <w:r>
              <w:rPr>
                <w:rFonts w:ascii="Calibri" w:hAnsi="Calibri"/>
                <w:sz w:val="17"/>
              </w:rPr>
              <w:t xml:space="preserve">”</w:t>
            </w:r>
            <w:r>
              <w:rPr>
                <w:rFonts w:ascii="Calibri" w:hAnsi="Calibri"/>
                <w:sz w:val="17"/>
              </w:rPr>
              <w:t xml:space="preserve"> </w:t>
            </w:r>
            <w:r>
              <w:rPr>
                <w:rFonts w:ascii="Calibri" w:hAnsi="Calibri"/>
                <w:sz w:val="17"/>
              </w:rPr>
              <w:t xml:space="preserve">would be a dependence and violates U.</w:t>
            </w:r>
          </w:p>
        </w:tc>
      </w:tr>
      <w:tr>
        <w:tc>
          <w:tcPr>
            <w:tcW w:type="dxa" w:w="2484"/>
          </w:tcPr>
          <w:p>
            <w:pPr>
              <w:pStyle w:val="BodyText"/>
              <w:keepNext w:val="0"/>
              <w:spacing w:after="80" w:line="252" w:lineRule="auto"/>
              <w:jc w:val="left"/>
            </w:pPr>
            <w:r>
              <w:rPr>
                <w:rFonts w:ascii="Calibri" w:hAnsi="Calibri"/>
                <w:sz w:val="17"/>
              </w:rPr>
              <w:t xml:space="preserve">T5 Causal intimacy without constituent identity</w:t>
            </w:r>
          </w:p>
        </w:tc>
        <w:tc>
          <w:tcPr>
            <w:tcW w:type="dxa" w:w="7452"/>
          </w:tcPr>
          <w:p>
            <w:pPr>
              <w:pStyle w:val="BodyText"/>
              <w:keepNext w:val="0"/>
              <w:spacing w:after="80" w:line="252" w:lineRule="auto"/>
              <w:jc w:val="left"/>
            </w:pPr>
            <w:r>
              <w:rPr>
                <w:rFonts w:ascii="Calibri" w:hAnsi="Calibri"/>
                <w:sz w:val="17"/>
              </w:rPr>
              <w:t xml:space="preserve">G gives present existential sustenance; the two constituency arguments exclude incorporation.</w:t>
            </w:r>
          </w:p>
        </w:tc>
      </w:tr>
      <w:tr>
        <w:tc>
          <w:tcPr>
            <w:tcW w:type="dxa" w:w="2484"/>
          </w:tcPr>
          <w:p>
            <w:pPr>
              <w:pStyle w:val="BodyText"/>
              <w:keepNext w:val="0"/>
              <w:spacing w:after="80" w:line="252" w:lineRule="auto"/>
              <w:jc w:val="left"/>
            </w:pPr>
            <w:r>
              <w:rPr>
                <w:rFonts w:ascii="Calibri" w:hAnsi="Calibri"/>
                <w:sz w:val="17"/>
              </w:rPr>
              <w:t xml:space="preserve">T6 Transcendence without distance</w:t>
            </w:r>
          </w:p>
        </w:tc>
        <w:tc>
          <w:tcPr>
            <w:tcW w:type="dxa" w:w="7452"/>
          </w:tcPr>
          <w:p>
            <w:pPr>
              <w:pStyle w:val="BodyText"/>
              <w:keepNext w:val="0"/>
              <w:spacing w:after="80" w:line="252" w:lineRule="auto"/>
              <w:jc w:val="left"/>
            </w:pPr>
            <w:r>
              <w:rPr>
                <w:rFonts w:ascii="Calibri" w:hAnsi="Calibri"/>
                <w:sz w:val="17"/>
              </w:rPr>
              <w:t xml:space="preserve">U/FS express transcendence; G expresses present causality. No spatial-distance entailment exists. Actual spacelessness requires a separate premise.</w:t>
            </w:r>
          </w:p>
        </w:tc>
      </w:tr>
      <w:tr>
        <w:tc>
          <w:tcPr>
            <w:tcW w:type="dxa" w:w="2484"/>
          </w:tcPr>
          <w:p>
            <w:pPr>
              <w:pStyle w:val="BodyText"/>
              <w:keepNext w:val="0"/>
              <w:spacing w:after="80" w:line="252" w:lineRule="auto"/>
              <w:jc w:val="left"/>
            </w:pPr>
            <w:r>
              <w:rPr>
                <w:rFonts w:ascii="Calibri" w:hAnsi="Calibri"/>
                <w:sz w:val="17"/>
              </w:rPr>
              <w:t xml:space="preserve">T7 Finite manifestation without exhaustive representation</w:t>
            </w:r>
          </w:p>
        </w:tc>
        <w:tc>
          <w:tcPr>
            <w:tcW w:type="dxa" w:w="7452"/>
          </w:tcPr>
          <w:p>
            <w:pPr>
              <w:pStyle w:val="BodyText"/>
              <w:keepNext w:val="0"/>
              <w:spacing w:after="80" w:line="252" w:lineRule="auto"/>
              <w:jc w:val="left"/>
            </w:pPr>
            <w:r>
              <w:rPr>
                <w:rFonts w:ascii="Calibri" w:hAnsi="Calibri"/>
                <w:sz w:val="17"/>
              </w:rPr>
              <w:t xml:space="preserve">G/Q/FS/FC show that a finite actual creature cannot exhaust the source’s total existential actuality. A perfection-specific capacity claim requires its own bounded/unbounded profile.</w:t>
            </w:r>
          </w:p>
        </w:tc>
      </w:tr>
      <w:tr>
        <w:tc>
          <w:tcPr>
            <w:tcW w:type="dxa" w:w="2484"/>
          </w:tcPr>
          <w:p>
            <w:pPr>
              <w:pStyle w:val="BodyText"/>
              <w:keepNext w:val="0"/>
              <w:spacing w:after="80" w:line="252" w:lineRule="auto"/>
              <w:jc w:val="left"/>
            </w:pPr>
            <w:r>
              <w:rPr>
                <w:rFonts w:ascii="Calibri" w:hAnsi="Calibri"/>
                <w:sz w:val="17"/>
              </w:rPr>
              <w:t xml:space="preserve">T8 Real communication without source-completion</w:t>
            </w:r>
          </w:p>
        </w:tc>
        <w:tc>
          <w:tcPr>
            <w:tcW w:type="dxa" w:w="7452"/>
          </w:tcPr>
          <w:p>
            <w:pPr>
              <w:pStyle w:val="BodyText"/>
              <w:keepNext w:val="0"/>
              <w:spacing w:after="80" w:line="252" w:lineRule="auto"/>
              <w:jc w:val="left"/>
            </w:pPr>
            <w:r>
              <w:rPr>
                <w:rFonts w:ascii="Calibri" w:hAnsi="Calibri"/>
                <w:sz w:val="17"/>
              </w:rPr>
              <w:t xml:space="preserve">G/Q produce actual positive realization; U excludes received source-perfection. X excludes intrinsic alteration alongside differences in created effects.</w:t>
            </w:r>
          </w:p>
        </w:tc>
      </w:tr>
      <w:tr>
        <w:tc>
          <w:tcPr>
            <w:tcW w:type="dxa" w:w="2484"/>
          </w:tcPr>
          <w:p>
            <w:pPr>
              <w:pStyle w:val="BodyText"/>
              <w:keepNext w:val="0"/>
              <w:spacing w:after="80" w:line="252" w:lineRule="auto"/>
              <w:jc w:val="left"/>
            </w:pPr>
            <w:r>
              <w:rPr>
                <w:rFonts w:ascii="Calibri" w:hAnsi="Calibri"/>
                <w:sz w:val="17"/>
              </w:rPr>
              <w:t xml:space="preserve">T9 Real perfection without independent Forms</w:t>
            </w:r>
          </w:p>
        </w:tc>
        <w:tc>
          <w:tcPr>
            <w:tcW w:type="dxa" w:w="7452"/>
          </w:tcPr>
          <w:p>
            <w:pPr>
              <w:pStyle w:val="BodyText"/>
              <w:keepNext w:val="0"/>
              <w:spacing w:after="80" w:line="252" w:lineRule="auto"/>
              <w:jc w:val="left"/>
            </w:pPr>
            <w:r>
              <w:rPr>
                <w:rFonts w:ascii="Calibri" w:hAnsi="Calibri"/>
                <w:sz w:val="17"/>
              </w:rPr>
              <w:t xml:space="preserve">G/Q explain creaturely perfection through the actual source; any independently actual causal Form violates G/CP/U if it claims underivation. Inert abstracta remain open.</w:t>
            </w:r>
          </w:p>
        </w:tc>
      </w:tr>
      <w:tr>
        <w:tc>
          <w:tcPr>
            <w:tcW w:type="dxa" w:w="2484"/>
          </w:tcPr>
          <w:p>
            <w:pPr>
              <w:pStyle w:val="BodyText"/>
              <w:keepNext w:val="0"/>
              <w:spacing w:after="80" w:line="252" w:lineRule="auto"/>
              <w:jc w:val="left"/>
            </w:pPr>
            <w:r>
              <w:rPr>
                <w:rFonts w:ascii="Calibri" w:hAnsi="Calibri"/>
                <w:sz w:val="17"/>
              </w:rPr>
              <w:t xml:space="preserve">T10 Immanence without pantheistic identity</w:t>
            </w:r>
          </w:p>
        </w:tc>
        <w:tc>
          <w:tcPr>
            <w:tcW w:type="dxa" w:w="7452"/>
          </w:tcPr>
          <w:p>
            <w:pPr>
              <w:pStyle w:val="BodyText"/>
              <w:keepNext w:val="0"/>
              <w:spacing w:after="80" w:line="252" w:lineRule="auto"/>
              <w:jc w:val="left"/>
            </w:pPr>
            <w:r>
              <w:rPr>
                <w:rFonts w:ascii="Calibri" w:hAnsi="Calibri"/>
                <w:sz w:val="17"/>
              </w:rPr>
              <w:t xml:space="preserve">G supplies immediate sustenance; CP/U and the constituency exclusions block identity and divine substance-pieces.</w:t>
            </w:r>
          </w:p>
        </w:tc>
      </w:tr>
      <w:tr>
        <w:tc>
          <w:tcPr>
            <w:tcW w:type="dxa" w:w="2484"/>
          </w:tcPr>
          <w:p>
            <w:pPr>
              <w:pStyle w:val="BodyText"/>
              <w:keepNext w:val="0"/>
              <w:spacing w:after="80" w:line="252" w:lineRule="auto"/>
              <w:jc w:val="left"/>
            </w:pPr>
            <w:r>
              <w:rPr>
                <w:rFonts w:ascii="Calibri" w:hAnsi="Calibri"/>
                <w:sz w:val="17"/>
              </w:rPr>
              <w:t xml:space="preserve">T11 Mixed relation</w:t>
            </w:r>
          </w:p>
        </w:tc>
        <w:tc>
          <w:tcPr>
            <w:tcW w:type="dxa" w:w="7452"/>
          </w:tcPr>
          <w:p>
            <w:pPr>
              <w:pStyle w:val="BodyText"/>
              <w:keepNext w:val="0"/>
              <w:spacing w:after="80" w:line="252" w:lineRule="auto"/>
              <w:jc w:val="left"/>
            </w:pPr>
            <w:r>
              <w:rPr>
                <w:rFonts w:ascii="Calibri" w:hAnsi="Calibri"/>
                <w:sz w:val="17"/>
              </w:rPr>
              <w:t xml:space="preserve">G/CP make creaturely dependence real; U/KD/X deny source constitution by the creature. True source-directed predications need not be intrinsic divine accidents.</w:t>
            </w:r>
          </w:p>
        </w:tc>
      </w:tr>
      <w:tr>
        <w:tc>
          <w:tcPr>
            <w:tcW w:type="dxa" w:w="2484"/>
          </w:tcPr>
          <w:p>
            <w:pPr>
              <w:pStyle w:val="BodyText"/>
              <w:keepNext w:val="0"/>
              <w:spacing w:after="80" w:line="252" w:lineRule="auto"/>
              <w:jc w:val="left"/>
            </w:pPr>
            <w:r>
              <w:rPr>
                <w:rFonts w:ascii="Calibri" w:hAnsi="Calibri"/>
                <w:sz w:val="17"/>
              </w:rPr>
              <w:t xml:space="preserve">T12 Receiver’s finite measure does not limit source</w:t>
            </w:r>
          </w:p>
        </w:tc>
        <w:tc>
          <w:tcPr>
            <w:tcW w:type="dxa" w:w="7452"/>
          </w:tcPr>
          <w:p>
            <w:pPr>
              <w:pStyle w:val="BodyText"/>
              <w:keepNext w:val="0"/>
              <w:spacing w:after="80" w:line="252" w:lineRule="auto"/>
              <w:jc w:val="left"/>
            </w:pPr>
            <w:r>
              <w:rPr>
                <w:rFonts w:ascii="Calibri" w:hAnsi="Calibri"/>
                <w:sz w:val="17"/>
              </w:rPr>
              <w:t xml:space="preserve">Bearer-indexed H attributes the mode to x; Q gives source-content without setting its mode equal to x’s. FS fixes the source’s existential mode. Indexing alone would not prove infinity in other q.</w:t>
            </w:r>
          </w:p>
        </w:tc>
      </w:tr>
      <w:tr>
        <w:tc>
          <w:tcPr>
            <w:tcW w:type="dxa" w:w="2484"/>
          </w:tcPr>
          <w:p>
            <w:pPr>
              <w:pStyle w:val="BodyText"/>
              <w:keepNext w:val="0"/>
              <w:spacing w:after="80" w:line="252" w:lineRule="auto"/>
              <w:jc w:val="left"/>
            </w:pPr>
            <w:r>
              <w:rPr>
                <w:rFonts w:ascii="Calibri" w:hAnsi="Calibri"/>
                <w:sz w:val="17"/>
              </w:rPr>
              <w:t xml:space="preserve">T13 Many effects without intrinsic source-multiplicity</w:t>
            </w:r>
          </w:p>
        </w:tc>
        <w:tc>
          <w:tcPr>
            <w:tcW w:type="dxa" w:w="7452"/>
          </w:tcPr>
          <w:p>
            <w:pPr>
              <w:pStyle w:val="BodyText"/>
              <w:keepNext w:val="0"/>
              <w:spacing w:after="80" w:line="252" w:lineRule="auto"/>
              <w:jc w:val="left"/>
            </w:pPr>
            <w:r>
              <w:rPr>
                <w:rFonts w:ascii="Calibri" w:hAnsi="Calibri"/>
                <w:sz w:val="17"/>
              </w:rPr>
              <w:t xml:space="preserve">KD/U exclude constituting source-parts; X permits different and multiple created effects with unchanged intrinsic source actuality. Many predicates or causal edges are not parts.</w:t>
            </w:r>
          </w:p>
        </w:tc>
      </w:tr>
      <w:tr>
        <w:tc>
          <w:tcPr>
            <w:tcW w:type="dxa" w:w="2484"/>
          </w:tcPr>
          <w:p>
            <w:pPr>
              <w:pStyle w:val="BodyText"/>
              <w:keepNext w:val="0"/>
              <w:spacing w:after="80" w:line="252" w:lineRule="auto"/>
              <w:jc w:val="left"/>
            </w:pPr>
            <w:r>
              <w:rPr>
                <w:rFonts w:ascii="Calibri" w:hAnsi="Calibri"/>
                <w:sz w:val="17"/>
              </w:rPr>
              <w:t xml:space="preserve">T14 Finite cannot exhaust unlimited unreceived source</w:t>
            </w:r>
          </w:p>
        </w:tc>
        <w:tc>
          <w:tcPr>
            <w:tcW w:type="dxa" w:w="7452"/>
          </w:tcPr>
          <w:p>
            <w:pPr>
              <w:pStyle w:val="BodyText"/>
              <w:keepNext w:val="0"/>
              <w:spacing w:after="80" w:line="252" w:lineRule="auto"/>
              <w:jc w:val="left"/>
            </w:pPr>
            <w:r>
              <w:rPr>
                <w:rFonts w:ascii="Calibri" w:hAnsi="Calibri"/>
                <w:sz w:val="17"/>
              </w:rPr>
              <w:t xml:space="preserve">FS/FC supply the existential inequality. In any q, the theorem is conditional on unlimited source/bounded receiver in q. U alone proves nothing about exhaustion.</w:t>
            </w:r>
          </w:p>
        </w:tc>
      </w:tr>
      <w:tr>
        <w:tc>
          <w:tcPr>
            <w:tcW w:type="dxa" w:w="2484"/>
          </w:tcPr>
          <w:p>
            <w:pPr>
              <w:pStyle w:val="BodyText"/>
              <w:keepNext w:val="0"/>
              <w:spacing w:after="80" w:line="252" w:lineRule="auto"/>
              <w:jc w:val="left"/>
            </w:pPr>
            <w:r>
              <w:rPr>
                <w:rFonts w:ascii="Calibri" w:hAnsi="Calibri"/>
                <w:sz w:val="17"/>
              </w:rPr>
              <w:t xml:space="preserve">T15 No particular finite expression necessitated by fullness</w:t>
            </w:r>
          </w:p>
        </w:tc>
        <w:tc>
          <w:tcPr>
            <w:tcW w:type="dxa" w:w="7452"/>
          </w:tcPr>
          <w:p>
            <w:pPr>
              <w:pStyle w:val="BodyText"/>
              <w:keepNext w:val="0"/>
              <w:spacing w:after="80" w:line="252" w:lineRule="auto"/>
              <w:jc w:val="left"/>
            </w:pPr>
            <w:r>
              <w:rPr>
                <w:rFonts w:ascii="Calibri" w:hAnsi="Calibri"/>
                <w:b/>
                <w:bCs/>
                <w:sz w:val="17"/>
              </w:rPr>
              <w:t xml:space="preserve">Not derivable.</w:t>
            </w:r>
            <w:r>
              <w:rPr>
                <w:rFonts w:ascii="Calibri" w:hAnsi="Calibri"/>
                <w:sz w:val="17"/>
              </w:rPr>
              <w:t xml:space="preserve"> </w:t>
            </w:r>
            <w:r>
              <w:rPr>
                <w:rFonts w:ascii="Calibri" w:hAnsi="Calibri"/>
                <w:sz w:val="17"/>
              </w:rPr>
              <w:t xml:space="preserve">Nonadequacy defeats one proposed ground of necessity, not all grounds of necessity.</w:t>
            </w:r>
          </w:p>
        </w:tc>
      </w:tr>
    </w:tbl>
    <w:p>
      <w:pPr>
        <w:pStyle w:val="BodyText"/>
      </w:pPr>
      <w:r>
        <w:t xml:space="preserve">For strong T3, add</w:t>
      </w:r>
      <w:r>
        <w:t xml:space="preserve"> </w:t>
      </w:r>
      <w:r>
        <w:rPr>
          <w:b/>
          <w:bCs/>
        </w:rPr>
        <w:t xml:space="preserve">N, a genus-constitution bridge</w:t>
      </w:r>
      <w:r>
        <w:t xml:space="preserve">: membership in a natural genus, as determined by a proper intrinsic differentiating principle, involves actual constitutive principles. A source with no such constituents cannot belong to a natural genus in that sense. This is a substantive essentialist account of genus, not pure logic. A common concept such as</w:t>
      </w:r>
      <w:r>
        <w:t xml:space="preserve"> </w:t>
      </w:r>
      <w:r>
        <w:t xml:space="preserve">“</w:t>
      </w:r>
      <w:r>
        <w:t xml:space="preserve">actual</w:t>
      </w:r>
      <w:r>
        <w:t xml:space="preserve">”</w:t>
      </w:r>
      <w:r>
        <w:t xml:space="preserve"> </w:t>
      </w:r>
      <w:r>
        <w:t xml:space="preserve">remains possible. The base does not rule out every univocal descriptive predicate.</w:t>
      </w:r>
    </w:p>
    <w:bookmarkEnd w:id="181"/>
    <w:bookmarkStart w:id="182" w:name="deletion-and-independence"/>
    <w:p>
      <w:pPr>
        <w:pStyle w:val="Heading3"/>
      </w:pPr>
      <w:r>
        <w:t xml:space="preserve">Deletion and independence</w:t>
      </w:r>
    </w:p>
    <w:p>
      <w:pPr>
        <w:pStyle w:val="FirstParagraph"/>
      </w:pPr>
      <w:r>
        <w:t xml:space="preserve">The following witnesses use</w:t>
      </w:r>
      <w:r>
        <w:t xml:space="preserve"> </w:t>
      </w:r>
      <w:r>
        <w:rPr>
          <w:rStyle w:val="VerbatimChar"/>
        </w:rPr>
        <w:t xml:space="preserve">s,a,b</w:t>
      </w:r>
      <w:r>
        <w:t xml:space="preserve">, empty constituency unless stated, and modes</w:t>
      </w:r>
      <w:r>
        <w:t xml:space="preserve"> </w:t>
      </w:r>
      <w:r>
        <w:rPr>
          <w:rStyle w:val="VerbatimChar"/>
        </w:rPr>
        <w:t xml:space="preserve">1,∞</w:t>
      </w:r>
      <w:r>
        <w:t xml:space="preserve">. Supply actuality and existential realizations at every present node. Use source mode</w:t>
      </w:r>
      <w:r>
        <w:t xml:space="preserve"> </w:t>
      </w:r>
      <w:r>
        <w:rPr>
          <w:rStyle w:val="VerbatimChar"/>
        </w:rPr>
        <w:t xml:space="preserve">∞</w:t>
      </w:r>
      <w:r>
        <w:t xml:space="preserve">, creature mode</w:t>
      </w:r>
      <w:r>
        <w:t xml:space="preserve"> </w:t>
      </w:r>
      <w:r>
        <w:rPr>
          <w:rStyle w:val="VerbatimChar"/>
        </w:rPr>
        <w:t xml:space="preserve">1</w:t>
      </w:r>
      <w:r>
        <w:t xml:space="preserve">, causation or sustaining causality for every creaturely realization, corresponding D-edges, and constant source J unless the deleted clause requires otherwise. Source-mode function and proper-constituency conditions remain respected.</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Delete</w:t>
            </w:r>
          </w:p>
        </w:tc>
        <w:tc>
          <w:tcPr>
            <w:tcW w:type="dxa" w:w="3312"/>
            <w:shd w:fill="EAE5DA"/>
          </w:tcPr>
          <w:p>
            <w:pPr>
              <w:pStyle w:val="BodyText"/>
              <w:keepNext w:val="0"/>
              <w:spacing w:after="80" w:line="252" w:lineRule="auto"/>
              <w:jc w:val="left"/>
            </w:pPr>
            <w:r>
              <w:rPr>
                <w:rFonts w:ascii="Calibri" w:hAnsi="Calibri"/>
                <w:b/>
                <w:sz w:val="17"/>
              </w:rPr>
              <w:t xml:space="preserve">Model satisfying the remaining clauses</w:t>
            </w:r>
          </w:p>
        </w:tc>
        <w:tc>
          <w:tcPr>
            <w:tcW w:type="dxa" w:w="3312"/>
            <w:shd w:fill="EAE5DA"/>
          </w:tcPr>
          <w:p>
            <w:pPr>
              <w:pStyle w:val="BodyText"/>
              <w:keepNext w:val="0"/>
              <w:spacing w:after="80" w:line="252" w:lineRule="auto"/>
              <w:jc w:val="left"/>
            </w:pPr>
            <w:r>
              <w:rPr>
                <w:rFonts w:ascii="Calibri" w:hAnsi="Calibri"/>
                <w:b/>
                <w:sz w:val="17"/>
              </w:rPr>
              <w:t xml:space="preserve">Lost consequence</w:t>
            </w:r>
          </w:p>
        </w:tc>
      </w:tr>
      <w:tr>
        <w:tc>
          <w:tcPr>
            <w:tcW w:type="dxa" w:w="3312"/>
          </w:tcPr>
          <w:p>
            <w:pPr>
              <w:pStyle w:val="BodyText"/>
              <w:keepNext w:val="0"/>
              <w:spacing w:after="80" w:line="252" w:lineRule="auto"/>
              <w:jc w:val="left"/>
            </w:pPr>
            <w:r>
              <w:rPr>
                <w:rFonts w:ascii="Calibri" w:hAnsi="Calibri"/>
                <w:sz w:val="17"/>
              </w:rPr>
              <w:t xml:space="preserve">G</w:t>
            </w:r>
          </w:p>
        </w:tc>
        <w:tc>
          <w:tcPr>
            <w:tcW w:type="dxa" w:w="3312"/>
          </w:tcPr>
          <w:p>
            <w:pPr>
              <w:pStyle w:val="BodyText"/>
              <w:keepNext w:val="0"/>
              <w:spacing w:after="80" w:line="252" w:lineRule="auto"/>
              <w:jc w:val="left"/>
            </w:pPr>
            <w:r>
              <w:rPr>
                <w:rFonts w:ascii="Calibri" w:hAnsi="Calibri"/>
                <w:sz w:val="17"/>
              </w:rPr>
              <w:t xml:space="preserve">An actual finite a has no source-causal or D-edge.</w:t>
            </w:r>
          </w:p>
        </w:tc>
        <w:tc>
          <w:tcPr>
            <w:tcW w:type="dxa" w:w="3312"/>
          </w:tcPr>
          <w:p>
            <w:pPr>
              <w:pStyle w:val="BodyText"/>
              <w:keepNext w:val="0"/>
              <w:spacing w:after="80" w:line="252" w:lineRule="auto"/>
              <w:jc w:val="left"/>
            </w:pPr>
            <w:r>
              <w:rPr>
                <w:rFonts w:ascii="Calibri" w:hAnsi="Calibri"/>
                <w:sz w:val="17"/>
              </w:rPr>
              <w:t xml:space="preserve">Universal participation, causal intimacy, exclusion of independent actual sources.</w:t>
            </w:r>
          </w:p>
        </w:tc>
      </w:tr>
      <w:tr>
        <w:tc>
          <w:tcPr>
            <w:tcW w:type="dxa" w:w="3312"/>
          </w:tcPr>
          <w:p>
            <w:pPr>
              <w:pStyle w:val="BodyText"/>
              <w:keepNext w:val="0"/>
              <w:spacing w:after="80" w:line="252" w:lineRule="auto"/>
              <w:jc w:val="left"/>
            </w:pPr>
            <w:r>
              <w:rPr>
                <w:rFonts w:ascii="Calibri" w:hAnsi="Calibri"/>
                <w:sz w:val="17"/>
              </w:rPr>
              <w:t xml:space="preserve">CP</w:t>
            </w:r>
          </w:p>
        </w:tc>
        <w:tc>
          <w:tcPr>
            <w:tcW w:type="dxa" w:w="3312"/>
          </w:tcPr>
          <w:p>
            <w:pPr>
              <w:pStyle w:val="BodyText"/>
              <w:keepNext w:val="0"/>
              <w:spacing w:after="80" w:line="252" w:lineRule="auto"/>
              <w:jc w:val="left"/>
            </w:pPr>
            <w:r>
              <w:rPr>
                <w:rFonts w:ascii="Calibri" w:hAnsi="Calibri"/>
                <w:sz w:val="17"/>
              </w:rPr>
              <w:t xml:space="preserve">All source-causal edges remain; D is empty; K is empty.</w:t>
            </w:r>
          </w:p>
        </w:tc>
        <w:tc>
          <w:tcPr>
            <w:tcW w:type="dxa" w:w="3312"/>
          </w:tcPr>
          <w:p>
            <w:pPr>
              <w:pStyle w:val="BodyText"/>
              <w:keepNext w:val="0"/>
              <w:spacing w:after="80" w:line="252" w:lineRule="auto"/>
              <w:jc w:val="left"/>
            </w:pPr>
            <w:r>
              <w:rPr>
                <w:rFonts w:ascii="Calibri" w:hAnsi="Calibri"/>
                <w:sz w:val="17"/>
              </w:rPr>
              <w:t xml:space="preserve">Causality no longer establishes real ontological dependence.</w:t>
            </w:r>
          </w:p>
        </w:tc>
      </w:tr>
      <w:tr>
        <w:tc>
          <w:tcPr>
            <w:tcW w:type="dxa" w:w="3312"/>
          </w:tcPr>
          <w:p>
            <w:pPr>
              <w:pStyle w:val="BodyText"/>
              <w:keepNext w:val="0"/>
              <w:spacing w:after="80" w:line="252" w:lineRule="auto"/>
              <w:jc w:val="left"/>
            </w:pPr>
            <w:r>
              <w:rPr>
                <w:rFonts w:ascii="Calibri" w:hAnsi="Calibri"/>
                <w:sz w:val="17"/>
              </w:rPr>
              <w:t xml:space="preserve">U</w:t>
            </w:r>
          </w:p>
        </w:tc>
        <w:tc>
          <w:tcPr>
            <w:tcW w:type="dxa" w:w="3312"/>
          </w:tcPr>
          <w:p>
            <w:pPr>
              <w:pStyle w:val="BodyText"/>
              <w:keepNext w:val="0"/>
              <w:spacing w:after="80" w:line="252" w:lineRule="auto"/>
              <w:jc w:val="left"/>
            </w:pPr>
            <w:r>
              <w:rPr>
                <w:rFonts w:ascii="Calibri" w:hAnsi="Calibri"/>
                <w:sz w:val="17"/>
              </w:rPr>
              <w:t xml:space="preserve">Add</w:t>
            </w:r>
            <w:r>
              <w:rPr>
                <w:rFonts w:ascii="Calibri" w:hAnsi="Calibri"/>
                <w:sz w:val="17"/>
              </w:rPr>
              <w:t xml:space="preserve"> </w:t>
            </w:r>
            <w:r>
              <w:rPr>
                <w:rStyle w:val="VerbatimChar"/>
                <w:sz w:val="17"/>
              </w:rPr>
              <w:t xml:space="preserve">D(s,a,e)</w:t>
            </w:r>
            <w:r>
              <w:rPr>
                <w:rFonts w:ascii="Calibri" w:hAnsi="Calibri"/>
                <w:sz w:val="17"/>
              </w:rPr>
              <w:t xml:space="preserve"> </w:t>
            </w:r>
            <w:r>
              <w:rPr>
                <w:rFonts w:ascii="Calibri" w:hAnsi="Calibri"/>
                <w:sz w:val="17"/>
              </w:rPr>
              <w:t xml:space="preserve">and</w:t>
            </w:r>
            <w:r>
              <w:rPr>
                <w:rFonts w:ascii="Calibri" w:hAnsi="Calibri"/>
                <w:sz w:val="17"/>
              </w:rPr>
              <w:t xml:space="preserve"> </w:t>
            </w:r>
            <w:r>
              <w:rPr>
                <w:rStyle w:val="VerbatimChar"/>
                <w:sz w:val="17"/>
              </w:rPr>
              <w:t xml:space="preserve">K(a,s)</w:t>
            </w:r>
            <w:r>
              <w:rPr>
                <w:rFonts w:ascii="Calibri" w:hAnsi="Calibri"/>
                <w:sz w:val="17"/>
              </w:rPr>
              <w:t xml:space="preserve">; retain</w:t>
            </w:r>
            <w:r>
              <w:rPr>
                <w:rFonts w:ascii="Calibri" w:hAnsi="Calibri"/>
                <w:sz w:val="17"/>
              </w:rPr>
              <w:t xml:space="preserve"> </w:t>
            </w:r>
            <w:r>
              <w:rPr>
                <w:rStyle w:val="VerbatimChar"/>
                <w:sz w:val="17"/>
              </w:rPr>
              <w:t xml:space="preserve">D(a,s,e)</w:t>
            </w:r>
            <w:r>
              <w:rPr>
                <w:rFonts w:ascii="Calibri" w:hAnsi="Calibri"/>
                <w:sz w:val="17"/>
              </w:rPr>
              <w:t xml:space="preserve">. Capacity inheritance is</w:t>
            </w:r>
            <w:r>
              <w:rPr>
                <w:rFonts w:ascii="Calibri" w:hAnsi="Calibri"/>
                <w:sz w:val="17"/>
              </w:rPr>
              <w:t xml:space="preserve"> </w:t>
            </w:r>
            <w:r>
              <w:rPr>
                <w:rStyle w:val="VerbatimChar"/>
                <w:sz w:val="17"/>
              </w:rPr>
              <w:t xml:space="preserve">1≤∞</w:t>
            </w:r>
            <w:r>
              <w:rPr>
                <w:rFonts w:ascii="Calibri" w:hAnsi="Calibri"/>
                <w:sz w:val="17"/>
              </w:rPr>
              <w:t xml:space="preserve">.</w:t>
            </w:r>
          </w:p>
        </w:tc>
        <w:tc>
          <w:tcPr>
            <w:tcW w:type="dxa" w:w="3312"/>
          </w:tcPr>
          <w:p>
            <w:pPr>
              <w:pStyle w:val="BodyText"/>
              <w:keepNext w:val="0"/>
              <w:spacing w:after="80" w:line="252" w:lineRule="auto"/>
              <w:jc w:val="left"/>
            </w:pPr>
            <w:r>
              <w:rPr>
                <w:rFonts w:ascii="Calibri" w:hAnsi="Calibri"/>
                <w:sz w:val="17"/>
              </w:rPr>
              <w:t xml:space="preserve">Source is composed and reciprocal dependence/completion is permitted.</w:t>
            </w:r>
          </w:p>
        </w:tc>
      </w:tr>
      <w:tr>
        <w:tc>
          <w:tcPr>
            <w:tcW w:type="dxa" w:w="3312"/>
          </w:tcPr>
          <w:p>
            <w:pPr>
              <w:pStyle w:val="BodyText"/>
              <w:keepNext w:val="0"/>
              <w:spacing w:after="80" w:line="252" w:lineRule="auto"/>
              <w:jc w:val="left"/>
            </w:pPr>
            <w:r>
              <w:rPr>
                <w:rFonts w:ascii="Calibri" w:hAnsi="Calibri"/>
                <w:sz w:val="17"/>
              </w:rPr>
              <w:t xml:space="preserve">Q</w:t>
            </w:r>
          </w:p>
        </w:tc>
        <w:tc>
          <w:tcPr>
            <w:tcW w:type="dxa" w:w="3312"/>
          </w:tcPr>
          <w:p>
            <w:pPr>
              <w:pStyle w:val="BodyText"/>
              <w:keepNext w:val="0"/>
              <w:spacing w:after="80" w:line="252" w:lineRule="auto"/>
              <w:jc w:val="left"/>
            </w:pPr>
            <w:r>
              <w:rPr>
                <w:rFonts w:ascii="Calibri" w:hAnsi="Calibri"/>
                <w:sz w:val="17"/>
              </w:rPr>
              <w:t xml:space="preserve">Give a another positive q, source-cause that q, but give s only existential content e.</w:t>
            </w:r>
          </w:p>
        </w:tc>
        <w:tc>
          <w:tcPr>
            <w:tcW w:type="dxa" w:w="3312"/>
          </w:tcPr>
          <w:p>
            <w:pPr>
              <w:pStyle w:val="BodyText"/>
              <w:keepNext w:val="0"/>
              <w:spacing w:after="80" w:line="252" w:lineRule="auto"/>
              <w:jc w:val="left"/>
            </w:pPr>
            <w:r>
              <w:rPr>
                <w:rFonts w:ascii="Calibri" w:hAnsi="Calibri"/>
                <w:sz w:val="17"/>
              </w:rPr>
              <w:t xml:space="preserve">Causation no longer implies qualitative likeness.</w:t>
            </w:r>
          </w:p>
        </w:tc>
      </w:tr>
      <w:tr>
        <w:tc>
          <w:tcPr>
            <w:tcW w:type="dxa" w:w="3312"/>
          </w:tcPr>
          <w:p>
            <w:pPr>
              <w:pStyle w:val="BodyText"/>
              <w:keepNext w:val="0"/>
              <w:spacing w:after="80" w:line="252" w:lineRule="auto"/>
              <w:jc w:val="left"/>
            </w:pPr>
            <w:r>
              <w:rPr>
                <w:rFonts w:ascii="Calibri" w:hAnsi="Calibri"/>
                <w:sz w:val="17"/>
              </w:rPr>
              <w:t xml:space="preserve">KD</w:t>
            </w:r>
          </w:p>
        </w:tc>
        <w:tc>
          <w:tcPr>
            <w:tcW w:type="dxa" w:w="3312"/>
          </w:tcPr>
          <w:p>
            <w:pPr>
              <w:pStyle w:val="BodyText"/>
              <w:keepNext w:val="0"/>
              <w:spacing w:after="80" w:line="252" w:lineRule="auto"/>
              <w:jc w:val="left"/>
            </w:pPr>
            <w:r>
              <w:rPr>
                <w:rFonts w:ascii="Calibri" w:hAnsi="Calibri"/>
                <w:sz w:val="17"/>
              </w:rPr>
              <w:t xml:space="preserve">Add</w:t>
            </w:r>
            <w:r>
              <w:rPr>
                <w:rFonts w:ascii="Calibri" w:hAnsi="Calibri"/>
                <w:sz w:val="17"/>
              </w:rPr>
              <w:t xml:space="preserve"> </w:t>
            </w:r>
            <w:r>
              <w:rPr>
                <w:rStyle w:val="VerbatimChar"/>
                <w:sz w:val="17"/>
              </w:rPr>
              <w:t xml:space="preserve">K(a,s)</w:t>
            </w:r>
            <w:r>
              <w:rPr>
                <w:rFonts w:ascii="Calibri" w:hAnsi="Calibri"/>
                <w:sz w:val="17"/>
              </w:rPr>
              <w:t xml:space="preserve"> </w:t>
            </w:r>
            <w:r>
              <w:rPr>
                <w:rFonts w:ascii="Calibri" w:hAnsi="Calibri"/>
                <w:sz w:val="17"/>
              </w:rPr>
              <w:t xml:space="preserve">but no source-dependence. The capacity ordering still holds.</w:t>
            </w:r>
          </w:p>
        </w:tc>
        <w:tc>
          <w:tcPr>
            <w:tcW w:type="dxa" w:w="3312"/>
          </w:tcPr>
          <w:p>
            <w:pPr>
              <w:pStyle w:val="BodyText"/>
              <w:keepNext w:val="0"/>
              <w:spacing w:after="80" w:line="252" w:lineRule="auto"/>
              <w:jc w:val="left"/>
            </w:pPr>
            <w:r>
              <w:rPr>
                <w:rFonts w:ascii="Calibri" w:hAnsi="Calibri"/>
                <w:sz w:val="17"/>
              </w:rPr>
              <w:t xml:space="preserve">Underivation fails to establish simplicity/nonpartition.</w:t>
            </w:r>
          </w:p>
        </w:tc>
      </w:tr>
      <w:tr>
        <w:tc>
          <w:tcPr>
            <w:tcW w:type="dxa" w:w="3312"/>
          </w:tcPr>
          <w:p>
            <w:pPr>
              <w:pStyle w:val="BodyText"/>
              <w:keepNext w:val="0"/>
              <w:spacing w:after="80" w:line="252" w:lineRule="auto"/>
              <w:jc w:val="left"/>
            </w:pPr>
            <w:r>
              <w:rPr>
                <w:rFonts w:ascii="Calibri" w:hAnsi="Calibri"/>
                <w:sz w:val="17"/>
              </w:rPr>
              <w:t xml:space="preserve">KH</w:t>
            </w:r>
          </w:p>
        </w:tc>
        <w:tc>
          <w:tcPr>
            <w:tcW w:type="dxa" w:w="3312"/>
          </w:tcPr>
          <w:p>
            <w:pPr>
              <w:pStyle w:val="BodyText"/>
              <w:keepNext w:val="0"/>
              <w:spacing w:after="80" w:line="252" w:lineRule="auto"/>
              <w:jc w:val="left"/>
            </w:pPr>
            <w:r>
              <w:rPr>
                <w:rFonts w:ascii="Calibri" w:hAnsi="Calibri"/>
                <w:sz w:val="17"/>
              </w:rPr>
              <w:t xml:space="preserve">Add</w:t>
            </w:r>
            <w:r>
              <w:rPr>
                <w:rFonts w:ascii="Calibri" w:hAnsi="Calibri"/>
                <w:sz w:val="17"/>
              </w:rPr>
              <w:t xml:space="preserve"> </w:t>
            </w:r>
            <w:r>
              <w:rPr>
                <w:rStyle w:val="VerbatimChar"/>
                <w:sz w:val="17"/>
              </w:rPr>
              <w:t xml:space="preserve">K(s,a)</w:t>
            </w:r>
            <w:r>
              <w:rPr>
                <w:rFonts w:ascii="Calibri" w:hAnsi="Calibri"/>
                <w:sz w:val="17"/>
              </w:rPr>
              <w:t xml:space="preserve"> </w:t>
            </w:r>
            <w:r>
              <w:rPr>
                <w:rFonts w:ascii="Calibri" w:hAnsi="Calibri"/>
                <w:sz w:val="17"/>
              </w:rPr>
              <w:t xml:space="preserve">and its required</w:t>
            </w:r>
            <w:r>
              <w:rPr>
                <w:rFonts w:ascii="Calibri" w:hAnsi="Calibri"/>
                <w:sz w:val="17"/>
              </w:rPr>
              <w:t xml:space="preserve"> </w:t>
            </w:r>
            <w:r>
              <w:rPr>
                <w:rStyle w:val="VerbatimChar"/>
                <w:sz w:val="17"/>
              </w:rPr>
              <w:t xml:space="preserve">D(a,s,e)</w:t>
            </w:r>
            <w:r>
              <w:rPr>
                <w:rFonts w:ascii="Calibri" w:hAnsi="Calibri"/>
                <w:sz w:val="17"/>
              </w:rPr>
              <w:t xml:space="preserve">.</w:t>
            </w:r>
          </w:p>
        </w:tc>
        <w:tc>
          <w:tcPr>
            <w:tcW w:type="dxa" w:w="3312"/>
          </w:tcPr>
          <w:p>
            <w:pPr>
              <w:pStyle w:val="BodyText"/>
              <w:keepNext w:val="0"/>
              <w:spacing w:after="80" w:line="252" w:lineRule="auto"/>
              <w:jc w:val="left"/>
            </w:pPr>
            <w:r>
              <w:rPr>
                <w:rFonts w:ascii="Calibri" w:hAnsi="Calibri"/>
                <w:sz w:val="17"/>
              </w:rPr>
              <w:t xml:space="preserve">Unlimited source can be a constituent of a finite recipient.</w:t>
            </w:r>
          </w:p>
        </w:tc>
      </w:tr>
      <w:tr>
        <w:tc>
          <w:tcPr>
            <w:tcW w:type="dxa" w:w="3312"/>
          </w:tcPr>
          <w:p>
            <w:pPr>
              <w:pStyle w:val="BodyText"/>
              <w:keepNext w:val="0"/>
              <w:spacing w:after="80" w:line="252" w:lineRule="auto"/>
              <w:jc w:val="left"/>
            </w:pPr>
            <w:r>
              <w:rPr>
                <w:rFonts w:ascii="Calibri" w:hAnsi="Calibri"/>
                <w:sz w:val="17"/>
              </w:rPr>
              <w:t xml:space="preserve">FS</w:t>
            </w:r>
          </w:p>
        </w:tc>
        <w:tc>
          <w:tcPr>
            <w:tcW w:type="dxa" w:w="3312"/>
          </w:tcPr>
          <w:p>
            <w:pPr>
              <w:pStyle w:val="BodyText"/>
              <w:keepNext w:val="0"/>
              <w:spacing w:after="80" w:line="252" w:lineRule="auto"/>
              <w:jc w:val="left"/>
            </w:pPr>
            <w:r>
              <w:rPr>
                <w:rFonts w:ascii="Calibri" w:hAnsi="Calibri"/>
                <w:sz w:val="17"/>
              </w:rPr>
              <w:t xml:space="preserve">Make source and creature modes both</w:t>
            </w:r>
            <w:r>
              <w:rPr>
                <w:rFonts w:ascii="Calibri" w:hAnsi="Calibri"/>
                <w:sz w:val="17"/>
              </w:rPr>
              <w:t xml:space="preserve"> </w:t>
            </w:r>
            <w:r>
              <w:rPr>
                <w:rStyle w:val="VerbatimChar"/>
                <w:sz w:val="17"/>
              </w:rPr>
              <w:t xml:space="preserve">1</w:t>
            </w:r>
            <w:r>
              <w:rPr>
                <w:rFonts w:ascii="Calibri" w:hAnsi="Calibri"/>
                <w:sz w:val="17"/>
              </w:rPr>
              <w:t xml:space="preserve">; optionally add</w:t>
            </w:r>
            <w:r>
              <w:rPr>
                <w:rFonts w:ascii="Calibri" w:hAnsi="Calibri"/>
                <w:sz w:val="17"/>
              </w:rPr>
              <w:t xml:space="preserve"> </w:t>
            </w:r>
            <w:r>
              <w:rPr>
                <w:rStyle w:val="VerbatimChar"/>
                <w:sz w:val="17"/>
              </w:rPr>
              <w:t xml:space="preserve">K(s,a)</w:t>
            </w:r>
            <w:r>
              <w:rPr>
                <w:rFonts w:ascii="Calibri" w:hAnsi="Calibri"/>
                <w:sz w:val="17"/>
              </w:rPr>
              <w:t xml:space="preserve">.</w:t>
            </w:r>
          </w:p>
        </w:tc>
        <w:tc>
          <w:tcPr>
            <w:tcW w:type="dxa" w:w="3312"/>
          </w:tcPr>
          <w:p>
            <w:pPr>
              <w:pStyle w:val="BodyText"/>
              <w:keepNext w:val="0"/>
              <w:spacing w:after="80" w:line="252" w:lineRule="auto"/>
              <w:jc w:val="left"/>
            </w:pPr>
            <w:r>
              <w:rPr>
                <w:rFonts w:ascii="Calibri" w:hAnsi="Calibri"/>
                <w:sz w:val="17"/>
              </w:rPr>
              <w:t xml:space="preserve">Underivation does not imply infinity or nonexhaustion.</w:t>
            </w:r>
          </w:p>
        </w:tc>
      </w:tr>
      <w:tr>
        <w:tc>
          <w:tcPr>
            <w:tcW w:type="dxa" w:w="3312"/>
          </w:tcPr>
          <w:p>
            <w:pPr>
              <w:pStyle w:val="BodyText"/>
              <w:keepNext w:val="0"/>
              <w:spacing w:after="80" w:line="252" w:lineRule="auto"/>
              <w:jc w:val="left"/>
            </w:pPr>
            <w:r>
              <w:rPr>
                <w:rFonts w:ascii="Calibri" w:hAnsi="Calibri"/>
                <w:sz w:val="17"/>
              </w:rPr>
              <w:t xml:space="preserve">FC</w:t>
            </w:r>
          </w:p>
        </w:tc>
        <w:tc>
          <w:tcPr>
            <w:tcW w:type="dxa" w:w="3312"/>
          </w:tcPr>
          <w:p>
            <w:pPr>
              <w:pStyle w:val="BodyText"/>
              <w:keepNext w:val="0"/>
              <w:spacing w:after="80" w:line="252" w:lineRule="auto"/>
              <w:jc w:val="left"/>
            </w:pPr>
            <w:r>
              <w:rPr>
                <w:rFonts w:ascii="Calibri" w:hAnsi="Calibri"/>
                <w:sz w:val="17"/>
              </w:rPr>
              <w:t xml:space="preserve">Make a’s mode</w:t>
            </w:r>
            <w:r>
              <w:rPr>
                <w:rFonts w:ascii="Calibri" w:hAnsi="Calibri"/>
                <w:sz w:val="17"/>
              </w:rPr>
              <w:t xml:space="preserve"> </w:t>
            </w:r>
            <w:r>
              <w:rPr>
                <w:rStyle w:val="VerbatimChar"/>
                <w:sz w:val="17"/>
              </w:rPr>
              <w:t xml:space="preserve">∞</w:t>
            </w:r>
            <w:r>
              <w:rPr>
                <w:rFonts w:ascii="Calibri" w:hAnsi="Calibri"/>
                <w:sz w:val="17"/>
              </w:rPr>
              <w:t xml:space="preserve">, while a remains other than and dependent on s.</w:t>
            </w:r>
          </w:p>
        </w:tc>
        <w:tc>
          <w:tcPr>
            <w:tcW w:type="dxa" w:w="3312"/>
          </w:tcPr>
          <w:p>
            <w:pPr>
              <w:pStyle w:val="BodyText"/>
              <w:keepNext w:val="0"/>
              <w:spacing w:after="80" w:line="252" w:lineRule="auto"/>
              <w:jc w:val="left"/>
            </w:pPr>
            <w:r>
              <w:rPr>
                <w:rFonts w:ascii="Calibri" w:hAnsi="Calibri"/>
                <w:sz w:val="17"/>
              </w:rPr>
              <w:t xml:space="preserve">Source infinity does not imply every dependent expression is bounded.</w:t>
            </w:r>
          </w:p>
        </w:tc>
      </w:tr>
      <w:tr>
        <w:tc>
          <w:tcPr>
            <w:tcW w:type="dxa" w:w="3312"/>
          </w:tcPr>
          <w:p>
            <w:pPr>
              <w:pStyle w:val="BodyText"/>
              <w:keepNext w:val="0"/>
              <w:spacing w:after="80" w:line="252" w:lineRule="auto"/>
              <w:jc w:val="left"/>
            </w:pPr>
            <w:r>
              <w:rPr>
                <w:rFonts w:ascii="Calibri" w:hAnsi="Calibri"/>
                <w:sz w:val="17"/>
              </w:rPr>
              <w:t xml:space="preserve">X</w:t>
            </w:r>
          </w:p>
        </w:tc>
        <w:tc>
          <w:tcPr>
            <w:tcW w:type="dxa" w:w="3312"/>
          </w:tcPr>
          <w:p>
            <w:pPr>
              <w:pStyle w:val="BodyText"/>
              <w:keepNext w:val="0"/>
              <w:spacing w:after="80" w:line="252" w:lineRule="auto"/>
              <w:jc w:val="left"/>
            </w:pPr>
            <w:r>
              <w:rPr>
                <w:rFonts w:ascii="Calibri" w:hAnsi="Calibri"/>
                <w:sz w:val="17"/>
              </w:rPr>
              <w:t xml:space="preserve">In two situations, s alone and s with a, retain all local clauses but give s an additional intrinsic positive r-realization only in the second situation, and let</w:t>
            </w:r>
            <w:r>
              <w:rPr>
                <w:rFonts w:ascii="Calibri" w:hAnsi="Calibri"/>
                <w:sz w:val="17"/>
              </w:rPr>
              <w:t xml:space="preserve"> </w:t>
            </w:r>
            <w:r>
              <w:rPr>
                <w:rStyle w:val="VerbatimChar"/>
                <w:sz w:val="17"/>
              </w:rPr>
              <w:t xml:space="preserve">J(s)</w:t>
            </w:r>
            <w:r>
              <w:rPr>
                <w:rFonts w:ascii="Calibri" w:hAnsi="Calibri"/>
                <w:sz w:val="17"/>
              </w:rPr>
              <w:t xml:space="preserve"> </w:t>
            </w:r>
            <w:r>
              <w:rPr>
                <w:rFonts w:ascii="Calibri" w:hAnsi="Calibri"/>
                <w:sz w:val="17"/>
              </w:rPr>
              <w:t xml:space="preserve">record it.</w:t>
            </w:r>
          </w:p>
        </w:tc>
        <w:tc>
          <w:tcPr>
            <w:tcW w:type="dxa" w:w="3312"/>
          </w:tcPr>
          <w:p>
            <w:pPr>
              <w:pStyle w:val="BodyText"/>
              <w:keepNext w:val="0"/>
              <w:spacing w:after="80" w:line="252" w:lineRule="auto"/>
              <w:jc w:val="left"/>
            </w:pPr>
            <w:r>
              <w:rPr>
                <w:rFonts w:ascii="Calibri" w:hAnsi="Calibri"/>
                <w:sz w:val="17"/>
              </w:rPr>
              <w:t xml:space="preserve">Static simplicity/underivation do not settle intrinsic invariance under differing effects.</w:t>
            </w:r>
          </w:p>
        </w:tc>
      </w:tr>
    </w:tbl>
    <w:p>
      <w:pPr>
        <w:pStyle w:val="BodyText"/>
      </w:pPr>
      <w:r>
        <w:t xml:space="preserve">These witnesses establish clause independence in the chosen sparse semantics. They do not establish historical endorsement, full theological satisfiability, or minimality across alternative signatures. They also expose why neither nonpartition nor likeness should be assumed in the definition of</w:t>
      </w:r>
      <w:r>
        <w:t xml:space="preserve"> </w:t>
      </w:r>
      <w:r>
        <w:t xml:space="preserve">“</w:t>
      </w:r>
      <w:r>
        <w:t xml:space="preserve">communication.</w:t>
      </w:r>
      <w:r>
        <w:t xml:space="preserve">”</w:t>
      </w:r>
    </w:p>
    <w:p>
      <w:pPr>
        <w:pStyle w:val="BodyText"/>
      </w:pPr>
      <w:r>
        <w:t xml:space="preserve">Primitive deletion has corresponding failures. Without H, identical causal graphs can represent resemblance or unrelated qualities. Without K, the graph cannot distinguish incorporation from external production. Without D, production and constitution have no explicitly represented grounding status. Without C, the model cannot distinguish efficient production from constitutive or merely logical dependence. Without ordered modes, the same qualitative graph admits equal, limited, or unlimited realizations. Without J/world indexing, modal claims about the full intrinsic profile are inexpressible unless H/K have first been made exhaustive. A has already been removed by explicit definition; actuality remains primitive in the meaning of H rather than independently duplicated.</w:t>
      </w:r>
    </w:p>
    <w:bookmarkEnd w:id="182"/>
    <w:bookmarkStart w:id="183" w:name="rival-ontologies-and-freedom"/>
    <w:p>
      <w:pPr>
        <w:pStyle w:val="Heading3"/>
      </w:pPr>
      <w:r>
        <w:t xml:space="preserve">Rival ontologies and freedom</w:t>
      </w:r>
    </w:p>
    <w:p>
      <w:pPr>
        <w:pStyle w:val="FirstParagraph"/>
      </w:pPr>
      <w:r>
        <w:t xml:space="preserve">The base excludes a divine substance partition and independent actual productive Forms. It also excludes a deism that denies present existential sustaining causality. A temporally initial but continuously sustaining Creator is compatible. It does not exclude all views called panentheism: a relational use of</w:t>
      </w:r>
      <w:r>
        <w:t xml:space="preserve"> </w:t>
      </w:r>
      <w:r>
        <w:t xml:space="preserve">“</w:t>
      </w:r>
      <w:r>
        <w:t xml:space="preserve">in God</w:t>
      </w:r>
      <w:r>
        <w:t xml:space="preserve">”</w:t>
      </w:r>
      <w:r>
        <w:t xml:space="preserve"> </w:t>
      </w:r>
      <w:r>
        <w:t xml:space="preserve">may satisfy the theory, while world-as-divine-constituent does not.</w:t>
      </w:r>
    </w:p>
    <w:p>
      <w:pPr>
        <w:pStyle w:val="BodyText"/>
      </w:pPr>
      <w:r>
        <w:rPr>
          <w:b/>
          <w:bCs/>
        </w:rPr>
        <w:t xml:space="preserve">Occasionalism remains compatible.</w:t>
      </w:r>
      <w:r>
        <w:t xml:space="preserve"> </w:t>
      </w:r>
      <w:r>
        <w:t xml:space="preserve">Actual secondary agency requires the further existential commitment that some created b productively causes a in a relevant respect. Add</w:t>
      </w:r>
      <w:r>
        <w:t xml:space="preserve"> </w:t>
      </w:r>
      <w:r>
        <w:rPr>
          <w:rStyle w:val="VerbatimChar"/>
        </w:rPr>
        <w:t xml:space="preserve">C(b,a,q)</w:t>
      </w:r>
      <w:r>
        <w:t xml:space="preserve"> </w:t>
      </w:r>
      <w:r>
        <w:t xml:space="preserve">alongside</w:t>
      </w:r>
      <w:r>
        <w:t xml:space="preserve"> </w:t>
      </w:r>
      <w:r>
        <w:rPr>
          <w:rStyle w:val="VerbatimChar"/>
        </w:rPr>
        <w:t xml:space="preserve">C(s,a,q)</w:t>
      </w:r>
      <w:r>
        <w:t xml:space="preserve">; the base has no exclusive-cause rule and both can hold. This establishes compatibility with noncompetitive causality. A full account of secondary causal powers needs further theory.</w:t>
      </w:r>
    </w:p>
    <w:p>
      <w:pPr>
        <w:pStyle w:val="BodyText"/>
      </w:pPr>
      <w:r>
        <w:rPr>
          <w:b/>
          <w:bCs/>
        </w:rPr>
        <w:t xml:space="preserve">Necessary emanation also remains compatible.</w:t>
      </w:r>
      <w:r>
        <w:t xml:space="preserve"> </w:t>
      </w:r>
      <w:r>
        <w:t xml:space="preserve">Every admitted situation can contain exactly the same created a, despite its failure to exhaust s. Nothing in the base says that an effect must equal its source to be necessary. Purely immanent causal theories are excluded only by the substantive U/FS assumptions about the source, not by causal syntax alone. An idealism preserving genuine created otherness and the specified relations is not excluded merely by its label.</w:t>
      </w:r>
    </w:p>
    <w:p>
      <w:pPr>
        <w:pStyle w:val="BodyText"/>
      </w:pPr>
      <w:r>
        <w:t xml:space="preserve">For T15 distinguish three extra steps:</w:t>
      </w:r>
    </w:p>
    <w:p>
      <w:pPr>
        <w:pStyle w:val="Compact"/>
        <w:numPr>
          <w:ilvl w:val="0"/>
          <w:numId w:val="1006"/>
        </w:numPr>
      </w:pPr>
      <w:r>
        <w:rPr>
          <w:b/>
          <w:bCs/>
        </w:rPr>
        <w:t xml:space="preserve">Modal alternatives:</w:t>
      </w:r>
      <w:r>
        <w:t xml:space="preserve"> </w:t>
      </w:r>
      <w:r>
        <w:t xml:space="preserve">the relevant effect is absent in some admitted situation with the same source intrinsic fullness. This establishes contingency of that effect, not freedom. To assert that no particular finite expression is necessary, provide an effectwise alternative for every such expression, or one admitted no-creation situation with the same intrinsic source actuality. Merely varying some other creature would not suffice.</w:t>
      </w:r>
    </w:p>
    <w:p>
      <w:pPr>
        <w:pStyle w:val="Compact"/>
        <w:numPr>
          <w:ilvl w:val="0"/>
          <w:numId w:val="1006"/>
        </w:numPr>
      </w:pPr>
      <w:r>
        <w:rPr>
          <w:b/>
          <w:bCs/>
        </w:rPr>
        <w:t xml:space="preserve">Intentional agency:</w:t>
      </w:r>
      <w:r>
        <w:t xml:space="preserve"> </w:t>
      </w:r>
      <w:r>
        <w:t xml:space="preserve">the source understands alternative possible creations and acts through volition. This establishes agency, not by itself freedom from necessitation.</w:t>
      </w:r>
    </w:p>
    <w:p>
      <w:pPr>
        <w:pStyle w:val="Compact"/>
        <w:numPr>
          <w:ilvl w:val="0"/>
          <w:numId w:val="1006"/>
        </w:numPr>
      </w:pPr>
      <w:r>
        <w:rPr>
          <w:b/>
          <w:bCs/>
        </w:rPr>
        <w:t xml:space="preserve">Absence of a necessitating rule:</w:t>
      </w:r>
      <w:r>
        <w:t xml:space="preserve"> </w:t>
      </w:r>
      <w:r>
        <w:t xml:space="preserve">neither intrinsic nature, external dependence, nor a unique-maximization constraint necessitates that effect. Specify the intended account of freedom; do not assume that</w:t>
      </w:r>
      <w:r>
        <w:t xml:space="preserve"> </w:t>
      </w:r>
      <w:r>
        <w:t xml:space="preserve">“</w:t>
      </w:r>
      <w:r>
        <w:t xml:space="preserve">will</w:t>
      </w:r>
      <w:r>
        <w:t xml:space="preserve">”</w:t>
      </w:r>
      <w:r>
        <w:t xml:space="preserve"> </w:t>
      </w:r>
      <w:r>
        <w:t xml:space="preserve">entails libertarian choice.</w:t>
      </w:r>
    </w:p>
    <w:p>
      <w:pPr>
        <w:pStyle w:val="FirstParagraph"/>
      </w:pPr>
      <w:r>
        <w:t xml:space="preserve">X is compatible with one situation and so cannot supply step 1. Identical intrinsic fullness across different situations need not mean identical intentional content. Distinguishing intrinsic act from object-relative determination is a proposed modeling resource, not an already demonstrated solution to divine freedom. It does not independently settle the truthmaking objection: what makes the source will this creation rather than another? Nor does formally stipulating intrinsic invariance answer the modal collapse objection that the necessity of God’s act makes creation necessary.</w:t>
      </w:r>
    </w:p>
    <w:bookmarkEnd w:id="183"/>
    <w:bookmarkStart w:id="184" w:name="where-explanation-finally-stops"/>
    <w:p>
      <w:pPr>
        <w:pStyle w:val="Heading3"/>
      </w:pPr>
      <w:r>
        <w:t xml:space="preserve">Where Explanation Finally Stops</w:t>
      </w:r>
    </w:p>
    <w:p>
      <w:pPr>
        <w:pStyle w:val="FirstParagraph"/>
      </w:pPr>
      <w:r>
        <w:t xml:space="preserve">The reconstruction is conceptually relational but ontologically asymmetric. One may learn</w:t>
      </w:r>
      <w:r>
        <w:t xml:space="preserve"> </w:t>
      </w:r>
      <w:r>
        <w:t xml:space="preserve">“</w:t>
      </w:r>
      <w:r>
        <w:t xml:space="preserve">source</w:t>
      </w:r>
      <w:r>
        <w:t xml:space="preserve">”</w:t>
      </w:r>
      <w:r>
        <w:t xml:space="preserve"> </w:t>
      </w:r>
      <w:r>
        <w:t xml:space="preserve">by reflecting on effects, while the source is not thereby caused or constituted by those effects. Epistemic ascent is not reverse ontological dependence.</w:t>
      </w:r>
    </w:p>
    <w:p>
      <w:pPr>
        <w:pStyle w:val="BodyText"/>
      </w:pPr>
      <w:r>
        <w:t xml:space="preserve">There is no definitional cycle: Rec uses C and H; P uses Rec and D; L uses H; E uses P and L; U uses D. None returns to P. Explanatory recursion occurs when created realization clarifies how we use</w:t>
      </w:r>
      <w:r>
        <w:t xml:space="preserve"> </w:t>
      </w:r>
      <w:r>
        <w:t xml:space="preserve">“</w:t>
      </w:r>
      <w:r>
        <w:t xml:space="preserve">actuality,</w:t>
      </w:r>
      <w:r>
        <w:t xml:space="preserve">”</w:t>
      </w:r>
      <w:r>
        <w:t xml:space="preserve"> </w:t>
      </w:r>
      <w:r>
        <w:t xml:space="preserve">while actuality is needed to describe realization. That mutual articulation can be benign, but it is not a proof of the bridges. A network of constraints replaces a verbal circle only if the relations retain independently assessable meanings.</w:t>
      </w:r>
    </w:p>
    <w:p>
      <w:pPr>
        <w:pStyle w:val="BodyText"/>
      </w:pPr>
      <w:r>
        <w:t xml:space="preserve">Explanation finally stops at actual positive realization, productive and constitutive dependence, qualitative content, and mode, together with the substantive assumptions about the source.</w:t>
      </w:r>
      <w:r>
        <w:t xml:space="preserve"> </w:t>
      </w:r>
      <w:r>
        <w:t xml:space="preserve">“</w:t>
      </w:r>
      <w:r>
        <w:t xml:space="preserve">Unreceived actuality</w:t>
      </w:r>
      <w:r>
        <w:t xml:space="preserve">”</w:t>
      </w:r>
      <w:r>
        <w:t xml:space="preserve"> </w:t>
      </w:r>
      <w:r>
        <w:t xml:space="preserve">is actuality without receipt; it does not explain why actuality exists. Calling God</w:t>
      </w:r>
      <w:r>
        <w:t xml:space="preserve"> </w:t>
      </w:r>
      <w:r>
        <w:t xml:space="preserve">“</w:t>
      </w:r>
      <w:r>
        <w:t xml:space="preserve">actuality itself</w:t>
      </w:r>
      <w:r>
        <w:t xml:space="preserve">”</w:t>
      </w:r>
      <w:r>
        <w:t xml:space="preserve"> </w:t>
      </w:r>
      <w:r>
        <w:t xml:space="preserve">cannot substitute for an argument that an underived source exists or possesses the proposed profile. The stopping point is therefore primitive actuality</w:t>
      </w:r>
      <w:r>
        <w:t xml:space="preserve"> </w:t>
      </w:r>
      <w:r>
        <w:rPr>
          <w:b/>
          <w:bCs/>
        </w:rPr>
        <w:t xml:space="preserve">and independent bridges</w:t>
      </w:r>
      <w:r>
        <w:t xml:space="preserve">, not actuality alone.</w:t>
      </w:r>
    </w:p>
    <w:p>
      <w:pPr>
        <w:pStyle w:val="BodyText"/>
      </w:pPr>
      <w:r>
        <w:t xml:space="preserve">In ordinary English: every created positive actuality is presently caused by an underived source; it truly resembles that source, but in its own bounded mode. Constitutive parts would make the source dependent, while an unlimited source cannot be contained as a constituent within bounded actuality. Different finite expressions need not alter the source’s intrinsic fullness. Actual freedom requires a further account of alternatives and willing.</w:t>
      </w:r>
    </w:p>
    <w:p>
      <w:pPr>
        <w:pStyle w:val="BodyText"/>
      </w:pPr>
      <w:r>
        <w:t xml:space="preserve">The compact formal statement, conditional on actual s, is:</w:t>
      </w:r>
    </w:p>
    <w:p>
      <w:pPr>
        <w:pStyle w:val="SourceCode"/>
      </w:pPr>
      <w:r>
        <w:rPr>
          <w:rStyle w:val="VerbatimChar"/>
        </w:rPr>
        <w:t xml:space="preserve">x≠s ∧ H(x,q,m) ⇒ C(s,x,q) ⇒ D(x,s,q),       ¬D(s,y,r)</w:t>
      </w:r>
      <w:r>
        <w:br/>
      </w:r>
      <w:r>
        <w:rPr>
          <w:rStyle w:val="VerbatimChar"/>
        </w:rPr>
        <w:t xml:space="preserve">C(s,x,q) ∧ H(x,q,m) ⇒ ∃n H(s,q,n)</w:t>
      </w:r>
      <w:r>
        <w:br/>
      </w:r>
      <w:r>
        <w:rPr>
          <w:rStyle w:val="VerbatimChar"/>
        </w:rPr>
        <w:t xml:space="preserve">K(z,y) ⇒ D(y,z,e),                         K(z,y) ⇒ m_z,e ≤ m_y,e</w:t>
      </w:r>
      <w:r>
        <w:br/>
      </w:r>
      <w:r>
        <w:rPr>
          <w:rStyle w:val="VerbatimChar"/>
        </w:rPr>
        <w:t xml:space="preserve">H(s,e,∞);                                x≠s ∧ H(x,e,m) ⇒ m&lt;∞</w:t>
      </w:r>
      <w:r>
        <w:br/>
      </w:r>
      <w:r>
        <w:rPr>
          <w:rStyle w:val="VerbatimChar"/>
        </w:rPr>
        <w:t xml:space="preserve">Δ created effects ⇏ ΔJ(s)             [X: J(s) invariant]</w:t>
      </w:r>
      <w:r>
        <w:br/>
      </w:r>
      <w:r>
        <w:rPr>
          <w:rStyle w:val="VerbatimChar"/>
        </w:rPr>
        <w:t xml:space="preserve">P(x,s,q) := C(s,x,q) ∧ D(x,s,q) ∧ ∃m H(x,q,m).</w:t>
      </w:r>
      <w:r>
        <w:br/>
      </w:r>
      <w:r>
        <w:rPr>
          <w:rStyle w:val="VerbatimChar"/>
        </w:rPr>
        <w:t xml:space="preserve">E(x,s,q) := P(x,s,q) ∧ L(x,s,q);            P(x,s,q) ⇒ L(x,s,q) by Q.</w:t>
      </w:r>
    </w:p>
    <w:p>
      <w:pPr>
        <w:pStyle w:val="FirstParagraph"/>
      </w:pPr>
      <w:r>
        <w:t xml:space="preserve">The displayed implications abbreviate nine independent clauses; the</w:t>
      </w:r>
      <w:r>
        <w:t xml:space="preserve"> </w:t>
      </w:r>
      <w:r>
        <w:rPr>
          <w:rStyle w:val="VerbatimChar"/>
        </w:rPr>
        <w:t xml:space="preserve">⇏</w:t>
      </w:r>
      <w:r>
        <w:t xml:space="preserve"> </w:t>
      </w:r>
      <w:r>
        <w:t xml:space="preserve">line is explanatory shorthand for the explicit invariance axiom, not a material implication or a proof of modal alternatives.</w:t>
      </w:r>
    </w:p>
    <w:bookmarkEnd w:id="184"/>
    <w:bookmarkEnd w:id="185"/>
    <w:p>
      <w:pPr>
        <w:pStyle w:val="Heading1"/>
      </w:pPr>
      <w:r>
        <w:t xml:space="preserve">Appendix C — ancient-patristic.md</w:t>
      </w:r>
    </w:p>
    <w:p>
      <w:pPr>
        <w:pStyle w:val="FirstParagraph"/>
      </w:pPr>
      <w:r>
        <w:t xml:space="preserve">Original research file: https:/​/​participation-​6o4.​pages.​dev/​research/​ancient-​patristic.​md</w:t>
      </w:r>
    </w:p>
    <w:bookmarkStart w:id="195" w:name="X2c20c276c9cf0912a5c95d2aa697faa29aa8227"/>
    <w:p>
      <w:pPr>
        <w:pStyle w:val="Heading2"/>
      </w:pPr>
      <w:r>
        <w:t xml:space="preserve">Ancient and patristic sources: resources, limits, and structural tests</w:t>
      </w:r>
    </w:p>
    <w:p>
      <w:pPr>
        <w:pStyle w:val="FirstParagraph"/>
      </w:pPr>
      <w:r>
        <w:t xml:space="preserve">These notes distinguish</w:t>
      </w:r>
      <w:r>
        <w:t xml:space="preserve"> </w:t>
      </w:r>
      <w:r>
        <w:rPr>
          <w:b/>
          <w:bCs/>
        </w:rPr>
        <w:t xml:space="preserve">explicit textual claims</w:t>
      </w:r>
      <w:r>
        <w:t xml:space="preserve">,</w:t>
      </w:r>
      <w:r>
        <w:t xml:space="preserve"> </w:t>
      </w:r>
      <w:r>
        <w:rPr>
          <w:b/>
          <w:bCs/>
        </w:rPr>
        <w:t xml:space="preserve">reconstructions</w:t>
      </w:r>
      <w:r>
        <w:t xml:space="preserve">, and</w:t>
      </w:r>
      <w:r>
        <w:t xml:space="preserve"> </w:t>
      </w:r>
      <w:r>
        <w:rPr>
          <w:b/>
          <w:bCs/>
        </w:rPr>
        <w:t xml:space="preserve">new constructive uses</w:t>
      </w:r>
      <w:r>
        <w:t xml:space="preserve">. A text can witness a principle without proving its independence or licensing every later application. Network access to the original publishers was blocked by the environment proxy; the public GitHub mirrors below were actually retrieved and read. No blocked publisher page is represented as consulted.</w:t>
      </w:r>
    </w:p>
    <w:bookmarkStart w:id="186" w:name="Xf6fc3a8ef84089328aeeeaf1072466b02dfadad"/>
    <w:p>
      <w:pPr>
        <w:pStyle w:val="Heading3"/>
      </w:pPr>
      <w:r>
        <w:t xml:space="preserve">Results that matter for the proposed minimum</w:t>
      </w:r>
    </w:p>
    <w:p>
      <w:pPr>
        <w:pStyle w:val="Compact"/>
        <w:numPr>
          <w:ilvl w:val="0"/>
          <w:numId w:val="1007"/>
        </w:numPr>
      </w:pPr>
      <w:r>
        <w:rPr>
          <w:b/>
          <w:bCs/>
        </w:rPr>
        <w:t xml:space="preserve">Actuality, dependence, and measure do not alone yield likeness.</w:t>
      </w:r>
      <w:r>
        <w:t xml:space="preserve"> </w:t>
      </w:r>
      <w:r>
        <w:t xml:space="preserve">An ontological dependence relation need not preserve a perfection or an intelligible structure. Aristotle’s objection to speaking of patterns and participation without specifying what produces their instances is an especially useful historical warning. A principle connecting causation with likeness must do real work; it cannot be hidden in the definition of dependence.</w:t>
      </w:r>
    </w:p>
    <w:p>
      <w:pPr>
        <w:pStyle w:val="Compact"/>
        <w:numPr>
          <w:ilvl w:val="0"/>
          <w:numId w:val="1007"/>
        </w:numPr>
      </w:pPr>
      <w:r>
        <w:rPr>
          <w:b/>
          <w:bCs/>
        </w:rPr>
        <w:t xml:space="preserve">Non-partition and non-reception are different.</w:t>
      </w:r>
      <w:r>
        <w:t xml:space="preserve"> </w:t>
      </w:r>
      <w:r>
        <w:t xml:space="preserve">An underived thing could, without an additional restriction, have parts and surrender one of them. Conversely a finite teacher can communicate knowledge without partition but still acquire knowledge. Neither asymmetry nor generic communication establishes absolute simplicity.</w:t>
      </w:r>
    </w:p>
    <w:p>
      <w:pPr>
        <w:pStyle w:val="Compact"/>
        <w:numPr>
          <w:ilvl w:val="0"/>
          <w:numId w:val="1007"/>
        </w:numPr>
      </w:pPr>
      <w:r>
        <w:rPr>
          <w:b/>
          <w:bCs/>
        </w:rPr>
        <w:t xml:space="preserve">Non-exhaustion is source-specific.</w:t>
      </w:r>
      <w:r>
        <w:t xml:space="preserve"> </w:t>
      </w:r>
      <w:r>
        <w:t xml:space="preserve">A finite participation does not exhaust an infinite source, but not every participation has an infinite source. Infinity requires a separate commitment or a further argument. Gregory’s inexhaustible divine good is not a definition of participation as such.</w:t>
      </w:r>
    </w:p>
    <w:p>
      <w:pPr>
        <w:pStyle w:val="Compact"/>
        <w:numPr>
          <w:ilvl w:val="0"/>
          <w:numId w:val="1007"/>
        </w:numPr>
      </w:pPr>
      <w:r>
        <w:rPr>
          <w:b/>
          <w:bCs/>
        </w:rPr>
        <w:t xml:space="preserve">Non-exhaustion does not prove contingency.</w:t>
      </w:r>
      <w:r>
        <w:t xml:space="preserve"> </w:t>
      </w:r>
      <w:r>
        <w:t xml:space="preserve">An eternally necessary finite effect can remain strictly inferior to, and unable to complete, its source. The Neoplatonic field supplies the relevant countermodel. Augustine preserves unchangeable divine actuality while assigning creation to will; that is an additional discrimination, not a theorem of non-exhaustion.</w:t>
      </w:r>
    </w:p>
    <w:p>
      <w:pPr>
        <w:pStyle w:val="Compact"/>
        <w:numPr>
          <w:ilvl w:val="0"/>
          <w:numId w:val="1007"/>
        </w:numPr>
      </w:pPr>
      <w:r>
        <w:rPr>
          <w:b/>
          <w:bCs/>
        </w:rPr>
        <w:t xml:space="preserve">No common genus is not no shared description.</w:t>
      </w:r>
      <w:r>
        <w:t xml:space="preserve"> </w:t>
      </w:r>
      <w:r>
        <w:t xml:space="preserve">The relevant exclusion concerns a common constitutive nature differentiated into Creator and creature, not the impossibility of quantifying over both or applying a formal predicate to both. The latter would make the reconstruction itself impossible.</w:t>
      </w:r>
    </w:p>
    <w:p>
      <w:pPr>
        <w:pStyle w:val="Compact"/>
        <w:numPr>
          <w:ilvl w:val="0"/>
          <w:numId w:val="1007"/>
        </w:numPr>
      </w:pPr>
      <w:r>
        <w:rPr>
          <w:b/>
          <w:bCs/>
        </w:rPr>
        <w:t xml:space="preserve">Sustaining dependence needs specification.</w:t>
      </w:r>
      <w:r>
        <w:t xml:space="preserve"> </w:t>
      </w:r>
      <w:r>
        <w:t xml:space="preserve">Being initially produced does not establish present causal intimacy. Plotinus and Augustine offer resources for present dependence, but a deist model cannot be excluded by an unspecified production relation.</w:t>
      </w:r>
    </w:p>
    <w:bookmarkEnd w:id="186"/>
    <w:bookmarkStart w:id="187" w:name="X16e25c860beb52d6405f2abdc49c6ed0fbdf70d"/>
    <w:p>
      <w:pPr>
        <w:pStyle w:val="Heading3"/>
      </w:pPr>
      <w:r>
        <w:t xml:space="preserve">Plato: participation poses the problem rather than solves it</w:t>
      </w:r>
    </w:p>
    <w:p>
      <w:pPr>
        <w:pStyle w:val="FirstParagraph"/>
      </w:pPr>
      <w:r>
        <w:rPr>
          <w:b/>
          <w:bCs/>
        </w:rPr>
        <w:t xml:space="preserve">Primary loci consulted:</w:t>
      </w:r>
      <w:r>
        <w:t xml:space="preserve"> </w:t>
      </w:r>
      <w:r>
        <w:rPr>
          <w:i/>
          <w:iCs/>
        </w:rPr>
        <w:t xml:space="preserve">Parmenides</w:t>
      </w:r>
      <w:r>
        <w:t xml:space="preserve"> </w:t>
      </w:r>
      <w:r>
        <w:t xml:space="preserve">130e–131e and 132d–133a;</w:t>
      </w:r>
      <w:r>
        <w:t xml:space="preserve"> </w:t>
      </w:r>
      <w:r>
        <w:rPr>
          <w:i/>
          <w:iCs/>
        </w:rPr>
        <w:t xml:space="preserve">Republic</w:t>
      </w:r>
      <w:r>
        <w:t xml:space="preserve"> </w:t>
      </w:r>
      <w:r>
        <w:t xml:space="preserve">VI, 509b;</w:t>
      </w:r>
      <w:r>
        <w:t xml:space="preserve"> </w:t>
      </w:r>
      <w:r>
        <w:rPr>
          <w:i/>
          <w:iCs/>
        </w:rPr>
        <w:t xml:space="preserve">Timaeus</w:t>
      </w:r>
      <w:r>
        <w:t xml:space="preserve"> </w:t>
      </w:r>
      <w:r>
        <w:t xml:space="preserve">28a–29e. The retrieved Jowett translations omit Stephanus marginal numbering, so standard loci identify the recognizable passages; this is not a claim to have collated a critical Greek edition.</w:t>
      </w:r>
    </w:p>
    <w:p>
      <w:pPr>
        <w:pStyle w:val="BodyText"/>
      </w:pPr>
      <w:r>
        <w:t xml:space="preserve">In</w:t>
      </w:r>
      <w:r>
        <w:t xml:space="preserve"> </w:t>
      </w:r>
      <w:r>
        <w:rPr>
          <w:i/>
          <w:iCs/>
        </w:rPr>
        <w:t xml:space="preserve">Parmenides</w:t>
      </w:r>
      <w:r>
        <w:t xml:space="preserve"> </w:t>
      </w:r>
      <w:r>
        <w:t xml:space="preserve">130e–131e, Parmenides asks whether each participant receives the whole Form or a part. Socrates’ daylight comparison suggests a one present in many without dismemberment; Parmenides’ sail comparison renews the partition difficulty. The dialogue does not simply endorse one settled solution. At 132d–133a, replacing participation with likeness between copy and pattern invites a further Form common to pattern and copy, hence regress.</w:t>
      </w:r>
      <w:r>
        <w:t xml:space="preserve"> </w:t>
      </w:r>
      <w:r>
        <w:rPr>
          <w:b/>
          <w:bCs/>
        </w:rPr>
        <w:t xml:space="preserve">Constructive use:</w:t>
      </w:r>
      <w:r>
        <w:t xml:space="preserve"> </w:t>
      </w:r>
      <w:r>
        <w:t xml:space="preserve">reject the whole/part model of communication, but do not pretend that calling an effect a likeness already avoids the regress. A causal, asymmetrical correspondence must be distinguished from symmetric membership under a third exemplar.</w:t>
      </w:r>
    </w:p>
    <w:p>
      <w:pPr>
        <w:pStyle w:val="BodyText"/>
      </w:pPr>
      <w:r>
        <w:rPr>
          <w:i/>
          <w:iCs/>
        </w:rPr>
        <w:t xml:space="preserve">Republic</w:t>
      </w:r>
      <w:r>
        <w:t xml:space="preserve"> </w:t>
      </w:r>
      <w:r>
        <w:t xml:space="preserve">509b locates the Good beyond being in dignity and power while making it explanatory of intelligibility and being. This is an antecedent for the thesis that an explanatory source need not possess what it communicates in the recipient’s mode. It is not a Christian Creator–creature doctrine, and</w:t>
      </w:r>
      <w:r>
        <w:t xml:space="preserve"> </w:t>
      </w:r>
      <w:r>
        <w:t xml:space="preserve">“</w:t>
      </w:r>
      <w:r>
        <w:t xml:space="preserve">beyond being</w:t>
      </w:r>
      <w:r>
        <w:t xml:space="preserve">”</w:t>
      </w:r>
      <w:r>
        <w:t xml:space="preserve"> </w:t>
      </w:r>
      <w:r>
        <w:t xml:space="preserve">must not be silently identified with Aquinas’s</w:t>
      </w:r>
      <w:r>
        <w:t xml:space="preserve"> </w:t>
      </w:r>
      <w:r>
        <w:rPr>
          <w:i/>
          <w:iCs/>
        </w:rPr>
        <w:t xml:space="preserve">ipsum esse</w:t>
      </w:r>
      <w:r>
        <w:t xml:space="preserve">.</w:t>
      </w:r>
      <w:r>
        <w:t xml:space="preserve"> </w:t>
      </w:r>
      <w:r>
        <w:rPr>
          <w:i/>
          <w:iCs/>
        </w:rPr>
        <w:t xml:space="preserve">Timaeus</w:t>
      </w:r>
      <w:r>
        <w:t xml:space="preserve"> </w:t>
      </w:r>
      <w:r>
        <w:t xml:space="preserve">28a–29e connects generated reality with cause, stable paradigm, goodness, and likeness: the good maker wishes things to become like himself as far as possible. The paradigm/craftsman/receptacle structure cannot simply be imported as creation</w:t>
      </w:r>
      <w:r>
        <w:t xml:space="preserve"> </w:t>
      </w:r>
      <w:r>
        <w:rPr>
          <w:i/>
          <w:iCs/>
        </w:rPr>
        <w:t xml:space="preserve">ex nihilo</w:t>
      </w:r>
      <w:r>
        <w:t xml:space="preserve">; the interpretation of the dialogue’s temporal cosmogony is contested.</w:t>
      </w:r>
    </w:p>
    <w:p>
      <w:pPr>
        <w:pStyle w:val="BodyText"/>
      </w:pPr>
      <w:r>
        <w:rPr>
          <w:b/>
          <w:bCs/>
        </w:rPr>
        <w:t xml:space="preserve">Scholarship consulted indirectly:</w:t>
      </w:r>
      <w:r>
        <w:t xml:space="preserve"> </w:t>
      </w:r>
      <w:r>
        <w:t xml:space="preserve">archived Stanford Encyclopedia prose entries</w:t>
      </w:r>
      <w:r>
        <w:t xml:space="preserve"> </w:t>
      </w:r>
      <w:r>
        <w:t xml:space="preserve">“</w:t>
      </w:r>
      <w:r>
        <w:t xml:space="preserve">Plato’s Parmenides,</w:t>
      </w:r>
      <w:r>
        <w:t xml:space="preserve">”</w:t>
      </w:r>
      <w:r>
        <w:t xml:space="preserve"> </w:t>
      </w:r>
      <w:r>
        <w:t xml:space="preserve">“</w:t>
      </w:r>
      <w:r>
        <w:t xml:space="preserve">Plato’s Timaeus,</w:t>
      </w:r>
      <w:r>
        <w:t xml:space="preserve">”</w:t>
      </w:r>
      <w:r>
        <w:t xml:space="preserve"> </w:t>
      </w:r>
      <w:r>
        <w:t xml:space="preserve">and</w:t>
      </w:r>
      <w:r>
        <w:t xml:space="preserve"> </w:t>
      </w:r>
      <w:r>
        <w:t xml:space="preserve">“</w:t>
      </w:r>
      <w:r>
        <w:t xml:space="preserve">Plato’s Middle Period Metaphysics and Epistemology</w:t>
      </w:r>
      <w:r>
        <w:t xml:space="preserve">”</w:t>
      </w:r>
      <w:r>
        <w:t xml:space="preserve"> </w:t>
      </w:r>
      <w:r>
        <w:t xml:space="preserve">in the by-August-2016 corpus listed below. Specialist follow-up, not consulted in full: Samuel C. Rickless,</w:t>
      </w:r>
      <w:r>
        <w:t xml:space="preserve"> </w:t>
      </w:r>
      <w:r>
        <w:rPr>
          <w:i/>
          <w:iCs/>
        </w:rPr>
        <w:t xml:space="preserve">Plato’s Forms in Transition</w:t>
      </w:r>
      <w:r>
        <w:t xml:space="preserve"> </w:t>
      </w:r>
      <w:r>
        <w:t xml:space="preserve">(2007). The important disagreement is whether the first part’s criticisms defeat Forms, expose an immature version, or prescribe necessary revisions. These notes use the objections as constraints, not as a verdict on Plato’s entire metaphysics.</w:t>
      </w:r>
    </w:p>
    <w:bookmarkEnd w:id="187"/>
    <w:bookmarkStart w:id="188" w:name="X082550ca8c318e9f28eb58e6480bee470016689"/>
    <w:p>
      <w:pPr>
        <w:pStyle w:val="Heading3"/>
      </w:pPr>
      <w:r>
        <w:t xml:space="preserve">Aristotle: actuality and explanatory discrimination</w:t>
      </w:r>
    </w:p>
    <w:p>
      <w:pPr>
        <w:pStyle w:val="FirstParagraph"/>
      </w:pPr>
      <w:r>
        <w:rPr>
          <w:b/>
          <w:bCs/>
        </w:rPr>
        <w:t xml:space="preserve">Primary consulted:</w:t>
      </w:r>
      <w:r>
        <w:t xml:space="preserve"> </w:t>
      </w:r>
      <w:r>
        <w:rPr>
          <w:i/>
          <w:iCs/>
        </w:rPr>
        <w:t xml:space="preserve">Metaphysics</w:t>
      </w:r>
      <w:r>
        <w:t xml:space="preserve"> </w:t>
      </w:r>
      <w:r>
        <w:t xml:space="preserve">I.9, 991a20–b9; III.3, 998b22–27; IV.2, 1003a33–b19; IX.8, 1049b4–1051a3; XII.7, 1072a19–b30, in the Perseus Tredennick translation. The XML preserves Bekker milestones and distinguishes translator notes from the text.</w:t>
      </w:r>
    </w:p>
    <w:p>
      <w:pPr>
        <w:pStyle w:val="BodyText"/>
      </w:pPr>
      <w:r>
        <w:t xml:space="preserve">I.9 challenges the causal sufficiency of separated patterns: merely resembling Socrates is not the same as being caused by Socrates; a generator remains to be specified.</w:t>
      </w:r>
      <w:r>
        <w:t xml:space="preserve"> </w:t>
      </w:r>
      <w:r>
        <w:rPr>
          <w:b/>
          <w:bCs/>
        </w:rPr>
        <w:t xml:space="preserve">Constructive use:</w:t>
      </w:r>
      <w:r>
        <w:t xml:space="preserve"> </w:t>
      </w:r>
      <w:r>
        <w:t xml:space="preserve">likeness cannot silently substitute for causation, and causal dependence cannot silently substitute for likeness. III.3 argues that being and unity cannot function as genera in the ordinary classificatory sense; IV.2 nevertheless allows the senses of being to be ordered toward a primary focus. This licenses a distinction between ordered intelligibility and a common genus, but is not itself a proof that God and creatures have the particular analogy a Christian account requires.</w:t>
      </w:r>
    </w:p>
    <w:p>
      <w:pPr>
        <w:pStyle w:val="BodyText"/>
      </w:pPr>
      <w:r>
        <w:t xml:space="preserve">IX.8 establishes the priority of actuality to potentiality in specified senses, not the universal statement that every event’s temporal cause precedes it. XII.7’s unmoved actuality and causation as object of desire supply non-receptive and non-rivalrous resources. They do not establish creation</w:t>
      </w:r>
      <w:r>
        <w:t xml:space="preserve"> </w:t>
      </w:r>
      <w:r>
        <w:rPr>
          <w:i/>
          <w:iCs/>
        </w:rPr>
        <w:t xml:space="preserve">ex nihilo</w:t>
      </w:r>
      <w:r>
        <w:t xml:space="preserve">, a freely selected cosmic history, or a general efficient cause of every thing’s entire being. Whether Aristotle’s first mover has an efficient causal role is a scholarly dispute; these notes do not resolve it by stipulation.</w:t>
      </w:r>
    </w:p>
    <w:p>
      <w:pPr>
        <w:pStyle w:val="BodyText"/>
      </w:pPr>
      <w:r>
        <w:rPr>
          <w:b/>
          <w:bCs/>
        </w:rPr>
        <w:t xml:space="preserve">Scholarship consulted:</w:t>
      </w:r>
      <w:r>
        <w:t xml:space="preserve"> </w:t>
      </w:r>
      <w:r>
        <w:t xml:space="preserve">archived SEP prose</w:t>
      </w:r>
      <w:r>
        <w:t xml:space="preserve"> </w:t>
      </w:r>
      <w:r>
        <w:t xml:space="preserve">“</w:t>
      </w:r>
      <w:r>
        <w:t xml:space="preserve">Aristotle’s Metaphysics</w:t>
      </w:r>
      <w:r>
        <w:t xml:space="preserve">”</w:t>
      </w:r>
      <w:r>
        <w:t xml:space="preserve"> </w:t>
      </w:r>
      <w:r>
        <w:t xml:space="preserve">and</w:t>
      </w:r>
      <w:r>
        <w:t xml:space="preserve"> </w:t>
      </w:r>
      <w:r>
        <w:t xml:space="preserve">“</w:t>
      </w:r>
      <w:r>
        <w:t xml:space="preserve">Aristotle on Causality.</w:t>
      </w:r>
      <w:r>
        <w:t xml:space="preserve">”</w:t>
      </w:r>
      <w:r>
        <w:t xml:space="preserve"> </w:t>
      </w:r>
      <w:r>
        <w:t xml:space="preserve">Further specialist lead, not consulted: Aryeh Kosman,</w:t>
      </w:r>
      <w:r>
        <w:t xml:space="preserve"> </w:t>
      </w:r>
      <w:r>
        <w:rPr>
          <w:i/>
          <w:iCs/>
        </w:rPr>
        <w:t xml:space="preserve">The Activity of Being</w:t>
      </w:r>
      <w:r>
        <w:t xml:space="preserve"> </w:t>
      </w:r>
      <w:r>
        <w:t xml:space="preserve">(2013). Aristotle helps distinguish categories of explanation; he should not become the compulsory ontology of the synthesis.</w:t>
      </w:r>
    </w:p>
    <w:bookmarkEnd w:id="188"/>
    <w:bookmarkStart w:id="189" w:name="X67aa9bb1a82457c817357d35893059dbf714282"/>
    <w:p>
      <w:pPr>
        <w:pStyle w:val="Heading3"/>
      </w:pPr>
      <w:r>
        <w:t xml:space="preserve">Plotinus: strong non-partitive intimacy, insufficient creation freedom</w:t>
      </w:r>
    </w:p>
    <w:p>
      <w:pPr>
        <w:pStyle w:val="FirstParagraph"/>
      </w:pPr>
      <w:r>
        <w:rPr>
          <w:b/>
          <w:bCs/>
        </w:rPr>
        <w:t xml:space="preserve">Primary consulted:</w:t>
      </w:r>
      <w:r>
        <w:t xml:space="preserve"> </w:t>
      </w:r>
      <w:r>
        <w:rPr>
          <w:i/>
          <w:iCs/>
        </w:rPr>
        <w:t xml:space="preserve">Enneads</w:t>
      </w:r>
      <w:r>
        <w:t xml:space="preserve"> </w:t>
      </w:r>
      <w:r>
        <w:t xml:space="preserve">V.2.1, VI.9.1–3 and VI.9.9, with V.1.6 as the modal pressure point, in Kenneth Sylvan Guthrie’s older translation. Its explanatory headings and parenthetical expansions belong to the translator; they should not be quoted as Plotinus. A. H. Armstrong’s Loeb edition is the preferred critical follow-up, not directly consulted here.</w:t>
      </w:r>
    </w:p>
    <w:p>
      <w:pPr>
        <w:pStyle w:val="BodyText"/>
      </w:pPr>
      <w:r>
        <w:t xml:space="preserve">V.2.1 describes the One as all things and none of them, simple, needing and acquiring nothing, and productive through superabundance of a different reality. VI.9.1–3 distinguishes participating unity from being the One, and refuses to classify the One as quantity, quality, soul, or intellect. VI.9.3 also locates the qualification expressed by calling the One a cause on the receiving side rather than treating it as an accident added to the One. VI.9.9 explicitly connects ongoing derivation with a source that remains entire and undiminished; its treatment of nearness is not spatial.</w:t>
      </w:r>
    </w:p>
    <w:p>
      <w:pPr>
        <w:pStyle w:val="BodyText"/>
      </w:pPr>
      <w:r>
        <w:rPr>
          <w:b/>
          <w:bCs/>
        </w:rPr>
        <w:t xml:space="preserve">Reasonable reconstruction:</w:t>
      </w:r>
      <w:r>
        <w:t xml:space="preserve"> </w:t>
      </w:r>
      <w:r>
        <w:t xml:space="preserve">simple source, real derivative actuality, and intimate continuing causality can coexist without material partition. This is powerful evidence against the proposition that otherness entails remoteness. It is not evidence that the One is a Christian personal Creator or that mystical union erases every distinction in precisely the user’s desired sense.</w:t>
      </w:r>
    </w:p>
    <w:p>
      <w:pPr>
        <w:pStyle w:val="BodyText"/>
      </w:pPr>
      <w:r>
        <w:t xml:space="preserve">V.1.6 links eternal perfection with eternal production and describes procession without a change or deliberative movement in the source.</w:t>
      </w:r>
      <w:r>
        <w:t xml:space="preserve"> </w:t>
      </w:r>
      <w:r>
        <w:rPr>
          <w:b/>
          <w:bCs/>
        </w:rPr>
        <w:t xml:space="preserve">Constructive test:</w:t>
      </w:r>
      <w:r>
        <w:t xml:space="preserve"> </w:t>
      </w:r>
      <w:r>
        <w:t xml:space="preserve">a necessitated finite emanation can satisfy asymmetry, nonidentity, non-partition, and non-exhaustion. It therefore defeats any inference from those alone to contingent creation. Do not turn this countermodel into a flat historical assertion that Plotinus has no account of freedom: VI.8’s treatment of the One’s freedom is an important unconsulted primary lead. Freedom from an external constraint and alternative possible divine communicative acts are different modal claims.</w:t>
      </w:r>
    </w:p>
    <w:p>
      <w:pPr>
        <w:pStyle w:val="BodyText"/>
      </w:pPr>
      <w:r>
        <w:rPr>
          <w:b/>
          <w:bCs/>
        </w:rPr>
        <w:t xml:space="preserve">Scholarship consulted:</w:t>
      </w:r>
      <w:r>
        <w:t xml:space="preserve"> </w:t>
      </w:r>
      <w:r>
        <w:t xml:space="preserve">the archived SEP</w:t>
      </w:r>
      <w:r>
        <w:t xml:space="preserve"> </w:t>
      </w:r>
      <w:r>
        <w:t xml:space="preserve">“</w:t>
      </w:r>
      <w:r>
        <w:t xml:space="preserve">Plotinus</w:t>
      </w:r>
      <w:r>
        <w:t xml:space="preserve">”</w:t>
      </w:r>
      <w:r>
        <w:t xml:space="preserve"> </w:t>
      </w:r>
      <w:r>
        <w:t xml:space="preserve">prose explicitly warns that emanation is neither temporal unpacking nor the separation of a potentially composite unity, and reconstructs it as ontological dependence. Further leads, not consulted: Dominic J. O’Meara,</w:t>
      </w:r>
      <w:r>
        <w:t xml:space="preserve"> </w:t>
      </w:r>
      <w:r>
        <w:rPr>
          <w:i/>
          <w:iCs/>
        </w:rPr>
        <w:t xml:space="preserve">Plotinus: An Introduction to the Enneads</w:t>
      </w:r>
      <w:r>
        <w:t xml:space="preserve"> </w:t>
      </w:r>
      <w:r>
        <w:t xml:space="preserve">(1993); Lloyd P. Gerson,</w:t>
      </w:r>
      <w:r>
        <w:t xml:space="preserve"> </w:t>
      </w:r>
      <w:r>
        <w:rPr>
          <w:i/>
          <w:iCs/>
        </w:rPr>
        <w:t xml:space="preserve">Plotinus</w:t>
      </w:r>
      <w:r>
        <w:t xml:space="preserve"> </w:t>
      </w:r>
      <w:r>
        <w:t xml:space="preserve">(1994).</w:t>
      </w:r>
    </w:p>
    <w:bookmarkEnd w:id="189"/>
    <w:bookmarkStart w:id="190" w:name="X5043227f03b835542204c8319ab98452e6059b6"/>
    <w:p>
      <w:pPr>
        <w:pStyle w:val="Heading3"/>
      </w:pPr>
      <w:r>
        <w:t xml:space="preserve">Proclus: formal architecture and the cost of intermediary principles</w:t>
      </w:r>
    </w:p>
    <w:p>
      <w:pPr>
        <w:pStyle w:val="FirstParagraph"/>
      </w:pPr>
      <w:r>
        <w:rPr>
          <w:b/>
          <w:bCs/>
        </w:rPr>
        <w:t xml:space="preserve">Consulted:</w:t>
      </w:r>
      <w:r>
        <w:t xml:space="preserve"> </w:t>
      </w:r>
      <w:r>
        <w:t xml:space="preserve">archived SEP</w:t>
      </w:r>
      <w:r>
        <w:t xml:space="preserve"> </w:t>
      </w:r>
      <w:r>
        <w:t xml:space="preserve">“</w:t>
      </w:r>
      <w:r>
        <w:t xml:space="preserve">Proclus,</w:t>
      </w:r>
      <w:r>
        <w:t xml:space="preserve">”</w:t>
      </w:r>
      <w:r>
        <w:t xml:space="preserve"> </w:t>
      </w:r>
      <w:r>
        <w:t xml:space="preserve">especially discussion of</w:t>
      </w:r>
      <w:r>
        <w:t xml:space="preserve"> </w:t>
      </w:r>
      <w:r>
        <w:rPr>
          <w:i/>
          <w:iCs/>
        </w:rPr>
        <w:t xml:space="preserve">Elements of Theology</w:t>
      </w:r>
      <w:r>
        <w:t xml:space="preserve"> </w:t>
      </w:r>
      <w:r>
        <w:t xml:space="preserve">propositions 23, 35, and 75.</w:t>
      </w:r>
      <w:r>
        <w:t xml:space="preserve"> </w:t>
      </w:r>
      <w:r>
        <w:rPr>
          <w:b/>
          <w:bCs/>
        </w:rPr>
        <w:t xml:space="preserve">Primary edition not directly consulted:</w:t>
      </w:r>
      <w:r>
        <w:t xml:space="preserve"> </w:t>
      </w:r>
      <w:r>
        <w:t xml:space="preserve">E. R. Dodds,</w:t>
      </w:r>
      <w:r>
        <w:t xml:space="preserve"> </w:t>
      </w:r>
      <w:r>
        <w:rPr>
          <w:i/>
          <w:iCs/>
        </w:rPr>
        <w:t xml:space="preserve">The Elements of Theology</w:t>
      </w:r>
      <w:r>
        <w:t xml:space="preserve">, second edition (1963). Exact proposition numbers beyond those substantiated by the specialist article are follow-up leads, not freshly verified readings.</w:t>
      </w:r>
    </w:p>
    <w:p>
      <w:pPr>
        <w:pStyle w:val="BodyText"/>
      </w:pPr>
      <w:r>
        <w:t xml:space="preserve">Proposition 35’s remaining–procession–return architecture presents a cause’s transcendence and a derivative’s real relation together. Proposition 23’s unparticipated–participated–participating triad addresses the one/many difficulty: the universal principle remains transcendent while participated terms articulate its presence to recipients. Proposition 75 distinguishes proper productive cause from an immanent constitutive or instrumental cause.</w:t>
      </w:r>
      <w:r>
        <w:t xml:space="preserve"> </w:t>
      </w:r>
      <w:r>
        <w:rPr>
          <w:b/>
          <w:bCs/>
        </w:rPr>
        <w:t xml:space="preserve">Constructive use:</w:t>
      </w:r>
      <w:r>
        <w:t xml:space="preserve"> </w:t>
      </w:r>
      <w:r>
        <w:t xml:space="preserve">originating causality need not be a constituent in the result, and multiple recipients need not divide the originating cause.</w:t>
      </w:r>
    </w:p>
    <w:p>
      <w:pPr>
        <w:pStyle w:val="BodyText"/>
      </w:pPr>
      <w:r>
        <w:rPr>
          <w:b/>
          <w:bCs/>
        </w:rPr>
        <w:t xml:space="preserve">Non-harmonizable issue:</w:t>
      </w:r>
      <w:r>
        <w:t xml:space="preserve"> </w:t>
      </w:r>
      <w:r>
        <w:t xml:space="preserve">Proclus’s hierarchy of participated henads is not simply the Christian God under another name. A Christian synthesis cannot borrow the formal distinction and conceal a commitment to multiple gods or obligatory ontological intermediaries. Nor does invoking return establish contingent creation. Proclus is useful as a demonstrative architectural predecessor and as a rival ontology, not a ready-made Christian minimal base.</w:t>
      </w:r>
    </w:p>
    <w:p>
      <w:pPr>
        <w:pStyle w:val="BodyText"/>
      </w:pPr>
      <w:r>
        <w:t xml:space="preserve">Further specialist lead, not consulted: Lucas Siorvanes,</w:t>
      </w:r>
      <w:r>
        <w:t xml:space="preserve"> </w:t>
      </w:r>
      <w:r>
        <w:rPr>
          <w:i/>
          <w:iCs/>
        </w:rPr>
        <w:t xml:space="preserve">Proclus: Neo-Platonic Philosophy and Science</w:t>
      </w:r>
      <w:r>
        <w:t xml:space="preserve"> </w:t>
      </w:r>
      <w:r>
        <w:t xml:space="preserve">(1996). Distinguish Proclus’s criticism of Aristotle from an uncontested account of Aristotle.</w:t>
      </w:r>
    </w:p>
    <w:bookmarkEnd w:id="190"/>
    <w:bookmarkStart w:id="191" w:name="X508ead4bdd4afad98db627c92b30ab38f66f37f"/>
    <w:p>
      <w:pPr>
        <w:pStyle w:val="Heading3"/>
      </w:pPr>
      <w:r>
        <w:t xml:space="preserve">Gregory of Nyssa: likeness across a real ontological distinction</w:t>
      </w:r>
    </w:p>
    <w:p>
      <w:pPr>
        <w:pStyle w:val="FirstParagraph"/>
      </w:pPr>
      <w:r>
        <w:rPr>
          <w:b/>
          <w:bCs/>
        </w:rPr>
        <w:t xml:space="preserve">Primary consulted:</w:t>
      </w:r>
      <w:r>
        <w:t xml:space="preserve"> </w:t>
      </w:r>
      <w:r>
        <w:rPr>
          <w:i/>
          <w:iCs/>
        </w:rPr>
        <w:t xml:space="preserve">On the Making of Man</w:t>
      </w:r>
      <w:r>
        <w:t xml:space="preserve"> </w:t>
      </w:r>
      <w:r>
        <w:t xml:space="preserve">XVI, with XVII and XXII read for context, in William Moore and Henry Austin Wilson’s translation. Standard Ebooks’ colophon identifies a Wikisource transcription checked against scanned print sources. The text’s anthropological and eschatological claims should not be mistaken for universal axioms about all created beings.</w:t>
      </w:r>
    </w:p>
    <w:p>
      <w:pPr>
        <w:pStyle w:val="BodyText"/>
      </w:pPr>
      <w:r>
        <w:t xml:space="preserve">XVI directly asks how the mutable, bodily, mortal human image can resemble an immutable, incorporeal archetype. It distinguishes attributes in which likeness consists from the difference between uncreated and created nature. Creation’s passage from nonexistence to existence belongs to the mutable receiver; the uncreated nature remains immutable. The same chapter says that each created thing has limit and measure prescribed by the Maker’s wisdom.</w:t>
      </w:r>
      <w:r>
        <w:t xml:space="preserve"> </w:t>
      </w:r>
      <w:r>
        <w:rPr>
          <w:b/>
          <w:bCs/>
        </w:rPr>
        <w:t xml:space="preserve">Reasonable reconstruction:</w:t>
      </w:r>
      <w:r>
        <w:t xml:space="preserve"> </w:t>
      </w:r>
      <w:r>
        <w:t xml:space="preserve">genuine correspondence in perfection does not transfer the recipient’s ontological mode into the source. This is a strong patristic witness against reducing likeness to shared substance or a common constitutive genus.</w:t>
      </w:r>
    </w:p>
    <w:p>
      <w:pPr>
        <w:pStyle w:val="BodyText"/>
      </w:pPr>
      <w:r>
        <w:rPr>
          <w:b/>
          <w:bCs/>
        </w:rPr>
        <w:t xml:space="preserve">Unconsulted exact primary leads:</w:t>
      </w:r>
      <w:r>
        <w:t xml:space="preserve"> </w:t>
      </w:r>
      <w:r>
        <w:rPr>
          <w:i/>
          <w:iCs/>
        </w:rPr>
        <w:t xml:space="preserve">Life of Moses</w:t>
      </w:r>
      <w:r>
        <w:t xml:space="preserve"> </w:t>
      </w:r>
      <w:r>
        <w:t xml:space="preserve">II.219 and II.232–239 for unlimited good and unending desire/vision; edition: Abraham J. Malherbe and Everett Ferguson,</w:t>
      </w:r>
      <w:r>
        <w:t xml:space="preserve"> </w:t>
      </w:r>
      <w:r>
        <w:rPr>
          <w:i/>
          <w:iCs/>
        </w:rPr>
        <w:t xml:space="preserve">The Life of Moses</w:t>
      </w:r>
      <w:r>
        <w:t xml:space="preserve"> </w:t>
      </w:r>
      <w:r>
        <w:t xml:space="preserve">(1978). Do not insert an unverified verbatim quotation. Gregory’s infinity and</w:t>
      </w:r>
      <w:r>
        <w:t xml:space="preserve"> </w:t>
      </w:r>
      <w:r>
        <w:rPr>
          <w:i/>
          <w:iCs/>
        </w:rPr>
        <w:t xml:space="preserve">epektasis</w:t>
      </w:r>
      <w:r>
        <w:t xml:space="preserve"> </w:t>
      </w:r>
      <w:r>
        <w:t xml:space="preserve">can support non-exhaustion, but non-exhaustion does not entail that every creature has an endless conscious ascent, or that every possible perfection is predicated of God in a categorially identical sense.</w:t>
      </w:r>
    </w:p>
    <w:p>
      <w:pPr>
        <w:pStyle w:val="BodyText"/>
      </w:pPr>
      <w:r>
        <w:rPr>
          <w:b/>
          <w:bCs/>
        </w:rPr>
        <w:t xml:space="preserve">Specialist books identified, not consulted in full:</w:t>
      </w:r>
      <w:r>
        <w:t xml:space="preserve"> </w:t>
      </w:r>
      <w:r>
        <w:t xml:space="preserve">David L. Balás,</w:t>
      </w:r>
      <w:r>
        <w:t xml:space="preserve"> </w:t>
      </w:r>
      <w:r>
        <w:rPr>
          <w:i/>
          <w:iCs/>
        </w:rPr>
        <w:t xml:space="preserve">Metousia Theou: Man’s Participation in God’s Perfections according to Saint Gregory of Nyssa</w:t>
      </w:r>
      <w:r>
        <w:t xml:space="preserve"> </w:t>
      </w:r>
      <w:r>
        <w:t xml:space="preserve">(1966); Ekkehard Mühlenberg,</w:t>
      </w:r>
      <w:r>
        <w:t xml:space="preserve"> </w:t>
      </w:r>
      <w:r>
        <w:rPr>
          <w:i/>
          <w:iCs/>
        </w:rPr>
        <w:t xml:space="preserve">Die Unendlichkeit Gottes bei Gregor von Nyssa</w:t>
      </w:r>
      <w:r>
        <w:t xml:space="preserve"> </w:t>
      </w:r>
      <w:r>
        <w:t xml:space="preserve">(1966); Morwenna Ludlow,</w:t>
      </w:r>
      <w:r>
        <w:t xml:space="preserve"> </w:t>
      </w:r>
      <w:r>
        <w:rPr>
          <w:i/>
          <w:iCs/>
        </w:rPr>
        <w:t xml:space="preserve">Gregory of Nyssa, Ancient and (Post)modern</w:t>
      </w:r>
      <w:r>
        <w:t xml:space="preserve"> </w:t>
      </w:r>
      <w:r>
        <w:t xml:space="preserve">(2007). Gregory’s positive account of infinity and its relationship to incomprehensibility deserve direct specialist checking before claiming an exhaustive Nyssen reconstruction.</w:t>
      </w:r>
    </w:p>
    <w:bookmarkEnd w:id="191"/>
    <w:bookmarkStart w:id="192" w:name="Xd962cd49fc3c6dbb0c60d162498541a18fe167c"/>
    <w:p>
      <w:pPr>
        <w:pStyle w:val="Heading3"/>
      </w:pPr>
      <w:r>
        <w:t xml:space="preserve">Augustine: source possession, received possession, and ideas without detached Forms</w:t>
      </w:r>
    </w:p>
    <w:p>
      <w:pPr>
        <w:pStyle w:val="FirstParagraph"/>
      </w:pPr>
      <w:r>
        <w:rPr>
          <w:b/>
          <w:bCs/>
        </w:rPr>
        <w:t xml:space="preserve">Primary consulted:</w:t>
      </w:r>
      <w:r>
        <w:t xml:space="preserve"> </w:t>
      </w:r>
      <w:r>
        <w:rPr>
          <w:i/>
          <w:iCs/>
        </w:rPr>
        <w:t xml:space="preserve">City of God</w:t>
      </w:r>
      <w:r>
        <w:t xml:space="preserve"> </w:t>
      </w:r>
      <w:r>
        <w:t xml:space="preserve">IX.17, X.15, XI.10, XI.21, XII.1–2 and XII.17–21;</w:t>
      </w:r>
      <w:r>
        <w:t xml:space="preserve"> </w:t>
      </w:r>
      <w:r>
        <w:rPr>
          <w:i/>
          <w:iCs/>
        </w:rPr>
        <w:t xml:space="preserve">Confessions</w:t>
      </w:r>
      <w:r>
        <w:t xml:space="preserve"> </w:t>
      </w:r>
      <w:r>
        <w:t xml:space="preserve">I.2–4, VII.10–11 and XI.4–6. The principal verified witness is</w:t>
      </w:r>
      <w:r>
        <w:t xml:space="preserve"> </w:t>
      </w:r>
      <w:r>
        <w:rPr>
          <w:i/>
          <w:iCs/>
        </w:rPr>
        <w:t xml:space="preserve">City of God</w:t>
      </w:r>
      <w:r>
        <w:t xml:space="preserve"> </w:t>
      </w:r>
      <w:r>
        <w:t xml:space="preserve">XI.10, in Marcus Dods’s translation.</w:t>
      </w:r>
    </w:p>
    <w:p>
      <w:pPr>
        <w:pStyle w:val="BodyText"/>
      </w:pPr>
      <w:r>
        <w:t xml:space="preserve">XI.10 makes its contrast explicit: the simple divine good is what it has; a soul is wise by participating in wisdom that it is not. An incorruptible body remains distinguishable from its incorruptibility even when inseparable from it. These examples prevent the proposed ontology from conflating inseparability with identity or every distinction with separable parts. The light/air comparison is offered with acknowledged dissimilarity, not as literal physics of divine transmission. One divine wisdom contains the intelligible reasons of created things without becoming many wisdoms.</w:t>
      </w:r>
      <w:r>
        <w:t xml:space="preserve"> </w:t>
      </w:r>
      <w:r>
        <w:rPr>
          <w:b/>
          <w:bCs/>
        </w:rPr>
        <w:t xml:space="preserve">Constructive use:</w:t>
      </w:r>
      <w:r>
        <w:t xml:space="preserve"> </w:t>
      </w:r>
      <w:r>
        <w:t xml:space="preserve">perfection can be intrinsic and underived in source, acquired or dependent in receiver; many intelligible intentions concerning creatures need not multiply intrinsic divine acts.</w:t>
      </w:r>
    </w:p>
    <w:p>
      <w:pPr>
        <w:pStyle w:val="BodyText"/>
      </w:pPr>
      <w:r>
        <w:t xml:space="preserve">IX.17 treats nearness to God through likeness, not bodily contact. X.15 makes both being and wellbeing dependent on Creator. XII.2 treats created things as good because from God, mutable because made from nothing rather than God’s substance. XI.21 and XII.17–21 address making new things without acquiring a new divine intention. They support a non-acquired divine act with temporal effects; they do not by themselves settle all contemporary possible-world objections to simplicity and contingency.</w:t>
      </w:r>
    </w:p>
    <w:p>
      <w:pPr>
        <w:pStyle w:val="BodyText"/>
      </w:pPr>
      <w:r>
        <w:rPr>
          <w:i/>
          <w:iCs/>
        </w:rPr>
        <w:t xml:space="preserve">Confessions</w:t>
      </w:r>
      <w:r>
        <w:t xml:space="preserve"> </w:t>
      </w:r>
      <w:r>
        <w:t xml:space="preserve">I.3 asks whether God is wholly everywhere while nothing contains him wholly: the receiving vessel neither upholds nor portions the source. VII.10.16 explains</w:t>
      </w:r>
      <w:r>
        <w:t xml:space="preserve"> </w:t>
      </w:r>
      <w:r>
        <w:t xml:space="preserve">“</w:t>
      </w:r>
      <w:r>
        <w:t xml:space="preserve">above</w:t>
      </w:r>
      <w:r>
        <w:t xml:space="preserve">”</w:t>
      </w:r>
      <w:r>
        <w:t xml:space="preserve"> </w:t>
      </w:r>
      <w:r>
        <w:t xml:space="preserve">by being maker rather than by spatial elevation; XI.4.6 grounds created beauty, goodness, and being in their maker while denying equality of mode.</w:t>
      </w:r>
    </w:p>
    <w:p>
      <w:pPr>
        <w:pStyle w:val="BodyText"/>
      </w:pPr>
      <w:r>
        <w:rPr>
          <w:b/>
          <w:bCs/>
        </w:rPr>
        <w:t xml:space="preserve">Unconsulted primary lead:</w:t>
      </w:r>
      <w:r>
        <w:t xml:space="preserve"> </w:t>
      </w:r>
      <w:r>
        <w:rPr>
          <w:i/>
          <w:iCs/>
        </w:rPr>
        <w:t xml:space="preserve">Eighty-three Different Questions</w:t>
      </w:r>
      <w:r>
        <w:t xml:space="preserve"> </w:t>
      </w:r>
      <w:r>
        <w:t xml:space="preserve">46.1–2 for ideas as immutable formative reasons in divine intelligence. XI.10 already provides a verified, less specialized witness. Created forms are real created perfections, not pieces of their divine exemplars; grounding intelligibility in divine knowledge does not authorize treating epistemic access as the truthmaker of each created fact.</w:t>
      </w:r>
    </w:p>
    <w:p>
      <w:pPr>
        <w:pStyle w:val="BodyText"/>
      </w:pPr>
      <w:r>
        <w:rPr>
          <w:b/>
          <w:bCs/>
        </w:rPr>
        <w:t xml:space="preserve">Scholarship consulted:</w:t>
      </w:r>
      <w:r>
        <w:t xml:space="preserve"> </w:t>
      </w:r>
      <w:r>
        <w:t xml:space="preserve">archived SEP</w:t>
      </w:r>
      <w:r>
        <w:t xml:space="preserve"> </w:t>
      </w:r>
      <w:r>
        <w:t xml:space="preserve">“</w:t>
      </w:r>
      <w:r>
        <w:t xml:space="preserve">Augustine</w:t>
      </w:r>
      <w:r>
        <w:t xml:space="preserve">”</w:t>
      </w:r>
      <w:r>
        <w:t xml:space="preserve"> </w:t>
      </w:r>
      <w:r>
        <w:t xml:space="preserve">distinguishes his volitional creation from the common Neoplatonic necessary-emanation interpretation and treats illumination as a debated account of knowledge. It does not justify reducing Augustine to pagan ontology. Specialist leads, not directly consulted: John M. Rist,</w:t>
      </w:r>
      <w:r>
        <w:t xml:space="preserve"> </w:t>
      </w:r>
      <w:r>
        <w:rPr>
          <w:i/>
          <w:iCs/>
        </w:rPr>
        <w:t xml:space="preserve">Augustine: Ancient Thought Baptised</w:t>
      </w:r>
      <w:r>
        <w:t xml:space="preserve"> </w:t>
      </w:r>
      <w:r>
        <w:t xml:space="preserve">(1994); Gerard O’Daly,</w:t>
      </w:r>
      <w:r>
        <w:t xml:space="preserve"> </w:t>
      </w:r>
      <w:r>
        <w:rPr>
          <w:i/>
          <w:iCs/>
        </w:rPr>
        <w:t xml:space="preserve">Augustine’s Philosophy of Mind</w:t>
      </w:r>
      <w:r>
        <w:t xml:space="preserve"> </w:t>
      </w:r>
      <w:r>
        <w:t xml:space="preserve">(1987). Interpretations of illumination differ; do not infer that creatures are unreal mental representations merely because knowledge requires immutable standards.</w:t>
      </w:r>
    </w:p>
    <w:bookmarkEnd w:id="192"/>
    <w:bookmarkStart w:id="193" w:name="verified-source-ledger-and-access-limits"/>
    <w:p>
      <w:pPr>
        <w:pStyle w:val="Heading3"/>
      </w:pPr>
      <w:r>
        <w:t xml:space="preserve">Verified source ledger and access limits</w:t>
      </w:r>
    </w:p>
    <w:p>
      <w:pPr>
        <w:pStyle w:val="FirstParagraph"/>
      </w:pPr>
      <w:r>
        <w:t xml:space="preserve">Retrieved on 12 October 2026; source texts remain in</w:t>
      </w:r>
      <w:r>
        <w:t xml:space="preserve"> </w:t>
      </w:r>
      <w:r>
        <w:rPr>
          <w:rStyle w:val="VerbatimChar"/>
        </w:rPr>
        <w:t xml:space="preserve">/tmp/participation-sources</w:t>
      </w:r>
      <w:r>
        <w:t xml:space="preserve"> </w:t>
      </w:r>
      <w:r>
        <w:t xml:space="preserve">and the scholarly mirror texts in</w:t>
      </w:r>
      <w:r>
        <w:t xml:space="preserve"> </w:t>
      </w:r>
      <w:r>
        <w:rPr>
          <w:rStyle w:val="VerbatimChar"/>
        </w:rPr>
        <w:t xml:space="preserve">/tmp/latin-sources</w:t>
      </w:r>
      <w:r>
        <w:t xml:space="preserve"> </w:t>
      </w:r>
      <w:r>
        <w:t xml:space="preserve">for audit.</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Text</w:t>
            </w:r>
          </w:p>
        </w:tc>
        <w:tc>
          <w:tcPr>
            <w:tcW w:type="dxa" w:w="7452"/>
            <w:shd w:fill="EAE5DA"/>
          </w:tcPr>
          <w:p>
            <w:pPr>
              <w:pStyle w:val="BodyText"/>
              <w:keepNext w:val="0"/>
              <w:spacing w:after="80" w:line="252" w:lineRule="auto"/>
              <w:jc w:val="left"/>
            </w:pPr>
            <w:r>
              <w:rPr>
                <w:rFonts w:ascii="Calibri" w:hAnsi="Calibri"/>
                <w:b/>
                <w:sz w:val="17"/>
              </w:rPr>
              <w:t xml:space="preserve">Actually retrieved source</w:t>
            </w:r>
          </w:p>
        </w:tc>
      </w:tr>
      <w:tr>
        <w:tc>
          <w:tcPr>
            <w:tcW w:type="dxa" w:w="2484"/>
          </w:tcPr>
          <w:p>
            <w:pPr>
              <w:pStyle w:val="BodyText"/>
              <w:keepNext w:val="0"/>
              <w:spacing w:after="80" w:line="252" w:lineRule="auto"/>
              <w:jc w:val="left"/>
            </w:pPr>
            <w:r>
              <w:rPr>
                <w:rFonts w:ascii="Calibri" w:hAnsi="Calibri"/>
                <w:sz w:val="17"/>
              </w:rPr>
              <w:t xml:space="preserve">Plato,</w:t>
            </w:r>
            <w:r>
              <w:rPr>
                <w:rFonts w:ascii="Calibri" w:hAnsi="Calibri"/>
                <w:sz w:val="17"/>
              </w:rPr>
              <w:t xml:space="preserve"> </w:t>
            </w:r>
            <w:r>
              <w:rPr>
                <w:rFonts w:ascii="Calibri" w:hAnsi="Calibri"/>
                <w:i/>
                <w:iCs/>
                <w:sz w:val="17"/>
              </w:rPr>
              <w:t xml:space="preserve">Parmenides</w:t>
            </w:r>
            <w:r>
              <w:rPr>
                <w:rFonts w:ascii="Calibri" w:hAnsi="Calibri"/>
                <w:sz w:val="17"/>
              </w:rPr>
              <w:t xml:space="preserve">, Jowett</w:t>
            </w:r>
          </w:p>
        </w:tc>
        <w:tc>
          <w:tcPr>
            <w:tcW w:type="dxa" w:w="7452"/>
          </w:tcPr>
          <w:p>
            <w:pPr>
              <w:pStyle w:val="BodyText"/>
              <w:keepNext w:val="0"/>
              <w:spacing w:after="80" w:line="252" w:lineRule="auto"/>
              <w:jc w:val="left"/>
            </w:pPr>
            <w:r>
              <w:rPr>
                <w:rFonts w:ascii="Calibri" w:hAnsi="Calibri"/>
                <w:sz w:val="17"/>
              </w:rPr>
              <w:t xml:space="preserve">https:/​/​raw.​githubusercontent.​com/​GITenberg/​Parmenides_​1687/​master/​1687.​txt</w:t>
            </w:r>
          </w:p>
        </w:tc>
      </w:tr>
      <w:tr>
        <w:tc>
          <w:tcPr>
            <w:tcW w:type="dxa" w:w="2484"/>
          </w:tcPr>
          <w:p>
            <w:pPr>
              <w:pStyle w:val="BodyText"/>
              <w:keepNext w:val="0"/>
              <w:spacing w:after="80" w:line="252" w:lineRule="auto"/>
              <w:jc w:val="left"/>
            </w:pPr>
            <w:r>
              <w:rPr>
                <w:rFonts w:ascii="Calibri" w:hAnsi="Calibri"/>
                <w:sz w:val="17"/>
              </w:rPr>
              <w:t xml:space="preserve">Plato,</w:t>
            </w:r>
            <w:r>
              <w:rPr>
                <w:rFonts w:ascii="Calibri" w:hAnsi="Calibri"/>
                <w:sz w:val="17"/>
              </w:rPr>
              <w:t xml:space="preserve"> </w:t>
            </w:r>
            <w:r>
              <w:rPr>
                <w:rFonts w:ascii="Calibri" w:hAnsi="Calibri"/>
                <w:i/>
                <w:iCs/>
                <w:sz w:val="17"/>
              </w:rPr>
              <w:t xml:space="preserve">Timaeus</w:t>
            </w:r>
            <w:r>
              <w:rPr>
                <w:rFonts w:ascii="Calibri" w:hAnsi="Calibri"/>
                <w:sz w:val="17"/>
              </w:rPr>
              <w:t xml:space="preserve">, Jowett</w:t>
            </w:r>
          </w:p>
        </w:tc>
        <w:tc>
          <w:tcPr>
            <w:tcW w:type="dxa" w:w="7452"/>
          </w:tcPr>
          <w:p>
            <w:pPr>
              <w:pStyle w:val="BodyText"/>
              <w:keepNext w:val="0"/>
              <w:spacing w:after="80" w:line="252" w:lineRule="auto"/>
              <w:jc w:val="left"/>
            </w:pPr>
            <w:r>
              <w:rPr>
                <w:rFonts w:ascii="Calibri" w:hAnsi="Calibri"/>
                <w:sz w:val="17"/>
              </w:rPr>
              <w:t xml:space="preserve">https:/​/​raw.​githubusercontent.​com/​GITenberg/​Timaeus_​1572/​master/​1572.​txt</w:t>
            </w:r>
          </w:p>
        </w:tc>
      </w:tr>
      <w:tr>
        <w:tc>
          <w:tcPr>
            <w:tcW w:type="dxa" w:w="2484"/>
          </w:tcPr>
          <w:p>
            <w:pPr>
              <w:pStyle w:val="BodyText"/>
              <w:keepNext w:val="0"/>
              <w:spacing w:after="80" w:line="252" w:lineRule="auto"/>
              <w:jc w:val="left"/>
            </w:pPr>
            <w:r>
              <w:rPr>
                <w:rFonts w:ascii="Calibri" w:hAnsi="Calibri"/>
                <w:sz w:val="17"/>
              </w:rPr>
              <w:t xml:space="preserve">Plato,</w:t>
            </w:r>
            <w:r>
              <w:rPr>
                <w:rFonts w:ascii="Calibri" w:hAnsi="Calibri"/>
                <w:sz w:val="17"/>
              </w:rPr>
              <w:t xml:space="preserve"> </w:t>
            </w:r>
            <w:r>
              <w:rPr>
                <w:rFonts w:ascii="Calibri" w:hAnsi="Calibri"/>
                <w:i/>
                <w:iCs/>
                <w:sz w:val="17"/>
              </w:rPr>
              <w:t xml:space="preserve">Republic</w:t>
            </w:r>
            <w:r>
              <w:rPr>
                <w:rFonts w:ascii="Calibri" w:hAnsi="Calibri"/>
                <w:sz w:val="17"/>
              </w:rPr>
              <w:t xml:space="preserve">, Jowett</w:t>
            </w:r>
          </w:p>
        </w:tc>
        <w:tc>
          <w:tcPr>
            <w:tcW w:type="dxa" w:w="7452"/>
          </w:tcPr>
          <w:p>
            <w:pPr>
              <w:pStyle w:val="BodyText"/>
              <w:keepNext w:val="0"/>
              <w:spacing w:after="80" w:line="252" w:lineRule="auto"/>
              <w:jc w:val="left"/>
            </w:pPr>
            <w:r>
              <w:rPr>
                <w:rFonts w:ascii="Calibri" w:hAnsi="Calibri"/>
                <w:sz w:val="17"/>
              </w:rPr>
              <w:t xml:space="preserve">https:/​/​raw.​githubusercontent.​com/​GITenberg/​The-​Republic_​1497/​master/​1497.​txt</w:t>
            </w:r>
          </w:p>
        </w:tc>
      </w:tr>
      <w:tr>
        <w:tc>
          <w:tcPr>
            <w:tcW w:type="dxa" w:w="2484"/>
          </w:tcPr>
          <w:p>
            <w:pPr>
              <w:pStyle w:val="BodyText"/>
              <w:keepNext w:val="0"/>
              <w:spacing w:after="80" w:line="252" w:lineRule="auto"/>
              <w:jc w:val="left"/>
            </w:pPr>
            <w:r>
              <w:rPr>
                <w:rFonts w:ascii="Calibri" w:hAnsi="Calibri"/>
                <w:sz w:val="17"/>
              </w:rPr>
              <w:t xml:space="preserve">Aristotle,</w:t>
            </w:r>
            <w:r>
              <w:rPr>
                <w:rFonts w:ascii="Calibri" w:hAnsi="Calibri"/>
                <w:sz w:val="17"/>
              </w:rPr>
              <w:t xml:space="preserve"> </w:t>
            </w:r>
            <w:r>
              <w:rPr>
                <w:rFonts w:ascii="Calibri" w:hAnsi="Calibri"/>
                <w:i/>
                <w:iCs/>
                <w:sz w:val="17"/>
              </w:rPr>
              <w:t xml:space="preserve">Metaphysics</w:t>
            </w:r>
            <w:r>
              <w:rPr>
                <w:rFonts w:ascii="Calibri" w:hAnsi="Calibri"/>
                <w:sz w:val="17"/>
              </w:rPr>
              <w:t xml:space="preserve">, Tredennick</w:t>
            </w:r>
          </w:p>
        </w:tc>
        <w:tc>
          <w:tcPr>
            <w:tcW w:type="dxa" w:w="7452"/>
          </w:tcPr>
          <w:p>
            <w:pPr>
              <w:pStyle w:val="BodyText"/>
              <w:keepNext w:val="0"/>
              <w:spacing w:after="80" w:line="252" w:lineRule="auto"/>
              <w:jc w:val="left"/>
            </w:pPr>
            <w:r>
              <w:rPr>
                <w:rFonts w:ascii="Calibri" w:hAnsi="Calibri"/>
                <w:sz w:val="17"/>
              </w:rPr>
              <w:t xml:space="preserve">https:/​/​raw.​githubusercontent.​com/​PerseusDL/​canonical-​greekLit/​master/​data/​tlg0086/​tlg025/​tlg0086.​tlg025.​perseus-​eng2.​xml</w:t>
            </w:r>
          </w:p>
        </w:tc>
      </w:tr>
      <w:tr>
        <w:tc>
          <w:tcPr>
            <w:tcW w:type="dxa" w:w="2484"/>
          </w:tcPr>
          <w:p>
            <w:pPr>
              <w:pStyle w:val="BodyText"/>
              <w:keepNext w:val="0"/>
              <w:spacing w:after="80" w:line="252" w:lineRule="auto"/>
              <w:jc w:val="left"/>
            </w:pPr>
            <w:r>
              <w:rPr>
                <w:rFonts w:ascii="Calibri" w:hAnsi="Calibri"/>
                <w:sz w:val="17"/>
              </w:rPr>
              <w:t xml:space="preserve">Plotinus, Guthrie, volume I</w:t>
            </w:r>
          </w:p>
        </w:tc>
        <w:tc>
          <w:tcPr>
            <w:tcW w:type="dxa" w:w="7452"/>
          </w:tcPr>
          <w:p>
            <w:pPr>
              <w:pStyle w:val="BodyText"/>
              <w:keepNext w:val="0"/>
              <w:spacing w:after="80" w:line="252" w:lineRule="auto"/>
              <w:jc w:val="left"/>
            </w:pPr>
            <w:r>
              <w:rPr>
                <w:rFonts w:ascii="Calibri" w:hAnsi="Calibri"/>
                <w:sz w:val="17"/>
              </w:rPr>
              <w:t xml:space="preserve">https:/​/​raw.​githubusercontent.​com/​GITenberg/​Plotinos–Complete-​Works-​v.​-​1In-​Chronological-​Order-​Grouped-​in-​Four-​Periods_​42930/​master/​42930-​h/​42930-​h.​htm</w:t>
            </w:r>
          </w:p>
        </w:tc>
      </w:tr>
      <w:tr>
        <w:tc>
          <w:tcPr>
            <w:tcW w:type="dxa" w:w="2484"/>
          </w:tcPr>
          <w:p>
            <w:pPr>
              <w:pStyle w:val="BodyText"/>
              <w:keepNext w:val="0"/>
              <w:spacing w:after="80" w:line="252" w:lineRule="auto"/>
              <w:jc w:val="left"/>
            </w:pPr>
            <w:r>
              <w:rPr>
                <w:rFonts w:ascii="Calibri" w:hAnsi="Calibri"/>
                <w:sz w:val="17"/>
              </w:rPr>
              <w:t xml:space="preserve">Gregory,</w:t>
            </w:r>
            <w:r>
              <w:rPr>
                <w:rFonts w:ascii="Calibri" w:hAnsi="Calibri"/>
                <w:sz w:val="17"/>
              </w:rPr>
              <w:t xml:space="preserve"> </w:t>
            </w:r>
            <w:r>
              <w:rPr>
                <w:rFonts w:ascii="Calibri" w:hAnsi="Calibri"/>
                <w:i/>
                <w:iCs/>
                <w:sz w:val="17"/>
              </w:rPr>
              <w:t xml:space="preserve">On the Making of Man</w:t>
            </w:r>
            <w:r>
              <w:rPr>
                <w:rFonts w:ascii="Calibri" w:hAnsi="Calibri"/>
                <w:sz w:val="17"/>
              </w:rPr>
              <w:t xml:space="preserve"> </w:t>
            </w:r>
            <w:r>
              <w:rPr>
                <w:rFonts w:ascii="Calibri" w:hAnsi="Calibri"/>
                <w:sz w:val="17"/>
              </w:rPr>
              <w:t xml:space="preserve">XVI</w:t>
            </w:r>
          </w:p>
        </w:tc>
        <w:tc>
          <w:tcPr>
            <w:tcW w:type="dxa" w:w="7452"/>
          </w:tcPr>
          <w:p>
            <w:pPr>
              <w:pStyle w:val="BodyText"/>
              <w:keepNext w:val="0"/>
              <w:spacing w:after="80" w:line="252" w:lineRule="auto"/>
              <w:jc w:val="left"/>
            </w:pPr>
            <w:r>
              <w:rPr>
                <w:rFonts w:ascii="Calibri" w:hAnsi="Calibri"/>
                <w:sz w:val="17"/>
              </w:rPr>
              <w:t xml:space="preserve">https:/​/​raw.​githubusercontent.​com/​standardebooks/​gregory-​of-​nyssa_​on-​the-​making-​of-​man_​william-​moore_​henry-​austin-​wilson/​master/​src/​epub/​text/​chapter-​16.​xhtml</w:t>
            </w:r>
          </w:p>
        </w:tc>
      </w:tr>
      <w:tr>
        <w:tc>
          <w:tcPr>
            <w:tcW w:type="dxa" w:w="2484"/>
          </w:tcPr>
          <w:p>
            <w:pPr>
              <w:pStyle w:val="BodyText"/>
              <w:keepNext w:val="0"/>
              <w:spacing w:after="80" w:line="252" w:lineRule="auto"/>
              <w:jc w:val="left"/>
            </w:pPr>
            <w:r>
              <w:rPr>
                <w:rFonts w:ascii="Calibri" w:hAnsi="Calibri"/>
                <w:sz w:val="17"/>
              </w:rPr>
              <w:t xml:space="preserve">Gregory edition provenance</w:t>
            </w:r>
          </w:p>
        </w:tc>
        <w:tc>
          <w:tcPr>
            <w:tcW w:type="dxa" w:w="7452"/>
          </w:tcPr>
          <w:p>
            <w:pPr>
              <w:pStyle w:val="BodyText"/>
              <w:keepNext w:val="0"/>
              <w:spacing w:after="80" w:line="252" w:lineRule="auto"/>
              <w:jc w:val="left"/>
            </w:pPr>
            <w:r>
              <w:rPr>
                <w:rFonts w:ascii="Calibri" w:hAnsi="Calibri"/>
                <w:sz w:val="17"/>
              </w:rPr>
              <w:t xml:space="preserve">https:/​/​raw.​githubusercontent.​com/​standardebooks/​gregory-​of-​nyssa_​on-​the-​making-​of-​man_​william-​moore_​henry-​austin-​wilson/​master/​src/​epub/​text/​colophon.​xhtml</w:t>
            </w:r>
          </w:p>
        </w:tc>
      </w:tr>
      <w:tr>
        <w:tc>
          <w:tcPr>
            <w:tcW w:type="dxa" w:w="2484"/>
          </w:tcPr>
          <w:p>
            <w:pPr>
              <w:pStyle w:val="BodyText"/>
              <w:keepNext w:val="0"/>
              <w:spacing w:after="80" w:line="252" w:lineRule="auto"/>
              <w:jc w:val="left"/>
            </w:pPr>
            <w:r>
              <w:rPr>
                <w:rFonts w:ascii="Calibri" w:hAnsi="Calibri"/>
                <w:sz w:val="17"/>
              </w:rPr>
              <w:t xml:space="preserve">Augustine,</w:t>
            </w:r>
            <w:r>
              <w:rPr>
                <w:rFonts w:ascii="Calibri" w:hAnsi="Calibri"/>
                <w:sz w:val="17"/>
              </w:rPr>
              <w:t xml:space="preserve"> </w:t>
            </w:r>
            <w:r>
              <w:rPr>
                <w:rFonts w:ascii="Calibri" w:hAnsi="Calibri"/>
                <w:i/>
                <w:iCs/>
                <w:sz w:val="17"/>
              </w:rPr>
              <w:t xml:space="preserve">City of God</w:t>
            </w:r>
            <w:r>
              <w:rPr>
                <w:rFonts w:ascii="Calibri" w:hAnsi="Calibri"/>
                <w:sz w:val="17"/>
              </w:rPr>
              <w:t xml:space="preserve">, I–XIII, Dods</w:t>
            </w:r>
          </w:p>
        </w:tc>
        <w:tc>
          <w:tcPr>
            <w:tcW w:type="dxa" w:w="7452"/>
          </w:tcPr>
          <w:p>
            <w:pPr>
              <w:pStyle w:val="BodyText"/>
              <w:keepNext w:val="0"/>
              <w:spacing w:after="80" w:line="252" w:lineRule="auto"/>
              <w:jc w:val="left"/>
            </w:pPr>
            <w:r>
              <w:rPr>
                <w:rFonts w:ascii="Calibri" w:hAnsi="Calibri"/>
                <w:sz w:val="17"/>
              </w:rPr>
              <w:t xml:space="preserve">https:/​/​raw.​githubusercontent.​com/​GITenberg/​The-​City-​of-​God-​Volume-​I_​45304/​master/​45304-​h/​45304-​h.​htm</w:t>
            </w:r>
          </w:p>
        </w:tc>
      </w:tr>
      <w:tr>
        <w:tc>
          <w:tcPr>
            <w:tcW w:type="dxa" w:w="2484"/>
          </w:tcPr>
          <w:p>
            <w:pPr>
              <w:pStyle w:val="BodyText"/>
              <w:keepNext w:val="0"/>
              <w:spacing w:after="80" w:line="252" w:lineRule="auto"/>
              <w:jc w:val="left"/>
            </w:pPr>
            <w:r>
              <w:rPr>
                <w:rFonts w:ascii="Calibri" w:hAnsi="Calibri"/>
                <w:sz w:val="17"/>
              </w:rPr>
              <w:t xml:space="preserve">Augustine,</w:t>
            </w:r>
            <w:r>
              <w:rPr>
                <w:rFonts w:ascii="Calibri" w:hAnsi="Calibri"/>
                <w:sz w:val="17"/>
              </w:rPr>
              <w:t xml:space="preserve"> </w:t>
            </w:r>
            <w:r>
              <w:rPr>
                <w:rFonts w:ascii="Calibri" w:hAnsi="Calibri"/>
                <w:i/>
                <w:iCs/>
                <w:sz w:val="17"/>
              </w:rPr>
              <w:t xml:space="preserve">Confessions</w:t>
            </w:r>
            <w:r>
              <w:rPr>
                <w:rFonts w:ascii="Calibri" w:hAnsi="Calibri"/>
                <w:sz w:val="17"/>
              </w:rPr>
              <w:t xml:space="preserve">, Pusey</w:t>
            </w:r>
          </w:p>
        </w:tc>
        <w:tc>
          <w:tcPr>
            <w:tcW w:type="dxa" w:w="7452"/>
          </w:tcPr>
          <w:p>
            <w:pPr>
              <w:pStyle w:val="BodyText"/>
              <w:keepNext w:val="0"/>
              <w:spacing w:after="80" w:line="252" w:lineRule="auto"/>
              <w:jc w:val="left"/>
            </w:pPr>
            <w:r>
              <w:rPr>
                <w:rFonts w:ascii="Calibri" w:hAnsi="Calibri"/>
                <w:sz w:val="17"/>
              </w:rPr>
              <w:t xml:space="preserve">https:/​/​raw.​githubusercontent.​com/​GITenberg/​The-​Confessions-​of-​St.​-​Augustine_​3296/​master/​3296.​txt</w:t>
            </w:r>
          </w:p>
        </w:tc>
      </w:tr>
      <w:tr>
        <w:tc>
          <w:tcPr>
            <w:tcW w:type="dxa" w:w="2484"/>
          </w:tcPr>
          <w:p>
            <w:pPr>
              <w:pStyle w:val="BodyText"/>
              <w:keepNext w:val="0"/>
              <w:spacing w:after="80" w:line="252" w:lineRule="auto"/>
              <w:jc w:val="left"/>
            </w:pPr>
            <w:r>
              <w:rPr>
                <w:rFonts w:ascii="Calibri" w:hAnsi="Calibri"/>
                <w:sz w:val="17"/>
              </w:rPr>
              <w:t xml:space="preserve">Archived specialist SEP prose corpus</w:t>
            </w:r>
          </w:p>
        </w:tc>
        <w:tc>
          <w:tcPr>
            <w:tcW w:type="dxa" w:w="7452"/>
          </w:tcPr>
          <w:p>
            <w:pPr>
              <w:pStyle w:val="BodyText"/>
              <w:keepNext w:val="0"/>
              <w:spacing w:after="80" w:line="252" w:lineRule="auto"/>
              <w:jc w:val="left"/>
            </w:pPr>
            <w:r>
              <w:rPr>
                <w:rFonts w:ascii="Calibri" w:hAnsi="Calibri"/>
                <w:sz w:val="17"/>
              </w:rPr>
              <w:t xml:space="preserve">https:/​/​raw.​githubusercontent.​com/​md-​mq/​philo2vec/​0d2351d43723f0d4a1fa662557626adb31a822ad/​data/​data.​zip</w:t>
            </w:r>
          </w:p>
        </w:tc>
      </w:tr>
    </w:tbl>
    <w:p>
      <w:pPr>
        <w:pStyle w:val="BodyText"/>
      </w:pPr>
      <w:r>
        <w:t xml:space="preserve">The final corpus link is a third-party archive committed by August 2016, not current publisher access. Its prose was consulted, but article revision headers and full bibliographies were absent from the extracted files; current wording, author metadata, and complete bibliographic verification remain outstanding. Original Stanford, MIT Classics, New Advent, CCEL, and Gutenberg destinations returned proxy</w:t>
      </w:r>
      <w:r>
        <w:t xml:space="preserve"> </w:t>
      </w:r>
      <w:r>
        <w:rPr>
          <w:rStyle w:val="VerbatimChar"/>
        </w:rPr>
        <w:t xml:space="preserve">CONNECT 403</w:t>
      </w:r>
      <w:r>
        <w:t xml:space="preserve">, even for an approved read-only curl request. An unrelated devotional GitHub adaptation of</w:t>
      </w:r>
      <w:r>
        <w:t xml:space="preserve"> </w:t>
      </w:r>
      <w:r>
        <w:rPr>
          <w:i/>
          <w:iCs/>
        </w:rPr>
        <w:t xml:space="preserve">Life of Moses</w:t>
      </w:r>
      <w:r>
        <w:t xml:space="preserve"> </w:t>
      </w:r>
      <w:r>
        <w:t xml:space="preserve">was inspected and rejected as primary evidence because its README expressly says it adapts spiritual themes rather than Gregory’s sentences. No secondary reconstruction has been represented as a direct primary reading.</w:t>
      </w:r>
    </w:p>
    <w:bookmarkEnd w:id="193"/>
    <w:bookmarkStart w:id="194" w:name="Xd61e81df11ca29acf187428ff8ae84db36cb9bd"/>
    <w:p>
      <w:pPr>
        <w:pStyle w:val="Heading3"/>
      </w:pPr>
      <w:r>
        <w:t xml:space="preserve">Continuity constraints for the constructive project</w:t>
      </w:r>
    </w:p>
    <w:p>
      <w:pPr>
        <w:pStyle w:val="FirstParagraph"/>
      </w:pPr>
      <w:r>
        <w:t xml:space="preserve">The compatible achievement is</w:t>
      </w:r>
      <w:r>
        <w:t xml:space="preserve"> </w:t>
      </w:r>
      <w:r>
        <w:rPr>
          <w:b/>
          <w:bCs/>
        </w:rPr>
        <w:t xml:space="preserve">real created perfection dependent on a non-receptive source, with different modes of possession</w:t>
      </w:r>
      <w:r>
        <w:t xml:space="preserve">. The historical materials do not license a single undifferentiated vocabulary of Forms, henads, divine ideas, and created images. A Newman-style assessment can treat the proposed architecture as preserving that problem and its central distinctions while assimilating explanatory resources. It cannot validate replacing necessitated procession with contingent creation without expressly identifying the modal disagreement. The philosophical minimum must therefore stop short of claiming that actuality explains itself, that underivedness proves infinity, or that non-exhaustion proves freedom. Those are the places where the apparent elegant minimum otherwise conceals its extra work.</w:t>
      </w:r>
    </w:p>
    <w:bookmarkEnd w:id="194"/>
    <w:bookmarkEnd w:id="195"/>
    <w:p>
      <w:pPr>
        <w:pStyle w:val="Heading1"/>
      </w:pPr>
      <w:r>
        <w:t xml:space="preserve">Appendix D — eastern-metaphysics.md</w:t>
      </w:r>
    </w:p>
    <w:p>
      <w:pPr>
        <w:pStyle w:val="FirstParagraph"/>
      </w:pPr>
      <w:r>
        <w:t xml:space="preserve">Original research file: https:/​/​participation-​6o4.​pages.​dev/​research/​eastern-​metaphysics.​md</w:t>
      </w:r>
    </w:p>
    <w:bookmarkStart w:id="209" w:name="X54c16223033ca0d65547b7c81698f4f798024b4"/>
    <w:p>
      <w:pPr>
        <w:pStyle w:val="Heading2"/>
      </w:pPr>
      <w:r>
        <w:t xml:space="preserve">Participation: Dionysius, Maximus, Eriugena, Cusa, and the Eastern qualification</w:t>
      </w:r>
    </w:p>
    <w:bookmarkStart w:id="198" w:name="evidence-status"/>
    <w:p>
      <w:pPr>
        <w:pStyle w:val="Heading3"/>
      </w:pPr>
      <w:r>
        <w:t xml:space="preserve">Evidence status</w:t>
      </w:r>
    </w:p>
    <w:p>
      <w:pPr>
        <w:pStyle w:val="FirstParagraph"/>
      </w:pPr>
      <w:r>
        <w:t xml:space="preserve">On 12 October 2026, publisher-site requests to CCEL, the Stanford Encyclopedia of Philosophy (SEP), New Advent, and Jasper Hopkins’s site failed with the cloud proxy’s</w:t>
      </w:r>
      <w:r>
        <w:t xml:space="preserve"> </w:t>
      </w:r>
      <w:r>
        <w:rPr>
          <w:rStyle w:val="VerbatimChar"/>
        </w:rPr>
        <w:t xml:space="preserve">403 Forbidden</w:t>
      </w:r>
      <w:r>
        <w:t xml:space="preserve">. Work continued through accessible public mirrors. Consultation now includes archived SEP prose on Dionysius, Eriugena, and Cusa, Dionysius’s Greek text in academic PG 3 OCR, and a primary translation of Damascene’s</w:t>
      </w:r>
      <w:r>
        <w:t xml:space="preserve"> </w:t>
      </w:r>
      <w:r>
        <w:rPr>
          <w:i/>
          <w:iCs/>
        </w:rPr>
        <w:t xml:space="preserve">On Holy Images</w:t>
      </w:r>
      <w:r>
        <w:t xml:space="preserve">. The SEP excerpts came from</w:t>
      </w:r>
      <w:r>
        <w:t xml:space="preserve"> </w:t>
      </w:r>
      <w:hyperlink r:id="rId132">
        <w:r>
          <w:rPr>
            <w:rStyle w:val="Hyperlink"/>
          </w:rPr>
          <w:t xml:space="preserve">philo2vec’s archived data</w:t>
        </w:r>
      </w:hyperlink>
      <w:r>
        <w:t xml:space="preserve">; its</w:t>
      </w:r>
      <w:r>
        <w:t xml:space="preserve"> </w:t>
      </w:r>
      <w:hyperlink r:id="rId196">
        <w:r>
          <w:rPr>
            <w:rStyle w:val="Hyperlink"/>
          </w:rPr>
          <w:t xml:space="preserve">README</w:t>
        </w:r>
      </w:hyperlink>
      <w:r>
        <w:t xml:space="preserve"> </w:t>
      </w:r>
      <w:r>
        <w:t xml:space="preserve">identifies a SEP crawler. The repository artifact existed by August 2016; individual article revisions remain undetermined. Body paragraphs are preserved, but headers, bibliography, and some block quotations are missing. These are</w:t>
      </w:r>
      <w:r>
        <w:t xml:space="preserve"> </w:t>
      </w:r>
      <w:r>
        <w:rPr>
          <w:b/>
          <w:bCs/>
        </w:rPr>
        <w:t xml:space="preserve">secondary mirror excerpts</w:t>
      </w:r>
      <w:r>
        <w:t xml:space="preserve">, not verified contemporary SEP editions.</w:t>
      </w:r>
    </w:p>
    <w:p>
      <w:pPr>
        <w:pStyle w:val="BodyText"/>
      </w:pPr>
      <w:r>
        <w:t xml:space="preserve">Damascene’s primary text is Mary H. Allies’s 1898 translation, Project Gutenberg #49917,</w:t>
      </w:r>
      <w:r>
        <w:t xml:space="preserve"> </w:t>
      </w:r>
      <w:hyperlink r:id="rId130">
        <w:r>
          <w:rPr>
            <w:rStyle w:val="Hyperlink"/>
          </w:rPr>
          <w:t xml:space="preserve">GITenberg mirror</w:t>
        </w:r>
      </w:hyperlink>
      <w:r>
        <w:t xml:space="preserve">. The file gives translator and University of Toronto scan provenance. Its antiquated translation even calls Dionysius</w:t>
      </w:r>
      <w:r>
        <w:t xml:space="preserve"> </w:t>
      </w:r>
      <w:r>
        <w:t xml:space="preserve">“</w:t>
      </w:r>
      <w:r>
        <w:t xml:space="preserve">the Carthusian</w:t>
      </w:r>
      <w:r>
        <w:t xml:space="preserve">”</w:t>
      </w:r>
      <w:r>
        <w:t xml:space="preserve"> </w:t>
      </w:r>
      <w:r>
        <w:t xml:space="preserve">in one passage—an anachronism not to repeat. Dionysius’s</w:t>
      </w:r>
      <w:r>
        <w:t xml:space="preserve"> </w:t>
      </w:r>
      <w:hyperlink r:id="rId116">
        <w:r>
          <w:rPr>
            <w:rStyle w:val="Hyperlink"/>
          </w:rPr>
          <w:t xml:space="preserve">Greek OCR witness</w:t>
        </w:r>
      </w:hyperlink>
      <w:r>
        <w:t xml:space="preserve"> </w:t>
      </w:r>
      <w:r>
        <w:t xml:space="preserve">comes from Calfa/GREgORI’s academic</w:t>
      </w:r>
      <w:r>
        <w:t xml:space="preserve"> </w:t>
      </w:r>
      <w:hyperlink r:id="rId197">
        <w:r>
          <w:rPr>
            <w:rStyle w:val="Hyperlink"/>
          </w:rPr>
          <w:t xml:space="preserve">PG project</w:t>
        </w:r>
      </w:hyperlink>
      <w:r>
        <w:t xml:space="preserve">, which explicitly calls its data unproofread and Greek-only. Readable relevant clauses were checked; exact wording needs collation against a critical edition. Modern books below remain recommendations, not newly consulted evidence. Other primary loci remain</w:t>
      </w:r>
      <w:r>
        <w:t xml:space="preserve"> </w:t>
      </w:r>
      <w:r>
        <w:rPr>
          <w:b/>
          <w:bCs/>
        </w:rPr>
        <w:t xml:space="preserve">pending direct checking</w:t>
      </w:r>
      <w:r>
        <w:t xml:space="preserve">.</w:t>
      </w:r>
    </w:p>
    <w:p>
      <w:pPr>
        <w:pStyle w:val="BodyText"/>
      </w:pPr>
      <w:r>
        <w:t xml:space="preserve">The central result is nevertheless clear enough for a constructive working model: dependence, causal likeness, nonconstitution, infinity, and contingent volition perform different jobs. No one of these authors licenses deriving all five from the word</w:t>
      </w:r>
      <w:r>
        <w:t xml:space="preserve"> </w:t>
      </w:r>
      <w:r>
        <w:t xml:space="preserve">“</w:t>
      </w:r>
      <w:r>
        <w:t xml:space="preserve">participation.</w:t>
      </w:r>
      <w:r>
        <w:t xml:space="preserve">”</w:t>
      </w:r>
    </w:p>
    <w:bookmarkEnd w:id="198"/>
    <w:bookmarkStart w:id="200" w:name="X33fc4c56e668a45ee41cbef7a776ec3deb81e2f"/>
    <w:p>
      <w:pPr>
        <w:pStyle w:val="Heading3"/>
      </w:pPr>
      <w:r>
        <w:t xml:space="preserve">1. Pseudo-Dionysius: causal precontainment is an additional bridge</w:t>
      </w:r>
    </w:p>
    <w:p>
      <w:pPr>
        <w:pStyle w:val="FirstParagraph"/>
      </w:pPr>
      <w:r>
        <w:rPr>
          <w:b/>
          <w:bCs/>
        </w:rPr>
        <w:t xml:space="preserve">Primary loci:</w:t>
      </w:r>
      <w:r>
        <w:t xml:space="preserve"> </w:t>
      </w:r>
      <w:r>
        <w:rPr>
          <w:i/>
          <w:iCs/>
        </w:rPr>
        <w:t xml:space="preserve">Divine Names</w:t>
      </w:r>
      <w:r>
        <w:t xml:space="preserve"> </w:t>
      </w:r>
      <w:r>
        <w:t xml:space="preserve">II.5–6 (seal and reception), V.8 (exemplars/divine wills, conventionally 824C–825A), and IX.6–7 (similarity/dissimilarity) were located and read in the Greek OCR witness. II.11, XI.6 (being-itself and participations), and XIII.2–3 (unity) remain checking targets. Reliable modern translation: Colm Luibheid, with Paul Rorem,</w:t>
      </w:r>
      <w:r>
        <w:t xml:space="preserve"> </w:t>
      </w:r>
      <w:r>
        <w:rPr>
          <w:i/>
          <w:iCs/>
        </w:rPr>
        <w:t xml:space="preserve">Pseudo-Dionysius: The Complete Works</w:t>
      </w:r>
      <w:r>
        <w:t xml:space="preserve"> </w:t>
      </w:r>
      <w:r>
        <w:t xml:space="preserve">(1987). Older translation: C. E. Rolt,</w:t>
      </w:r>
      <w:r>
        <w:t xml:space="preserve"> </w:t>
      </w:r>
      <w:r>
        <w:rPr>
          <w:i/>
          <w:iCs/>
        </w:rPr>
        <w:t xml:space="preserve">Dionysius the Areopagite on the Divine Names and the Mystical Theology</w:t>
      </w:r>
      <w:r>
        <w:t xml:space="preserve"> </w:t>
      </w:r>
      <w:r>
        <w:t xml:space="preserve">(1920),</w:t>
      </w:r>
      <w:r>
        <w:t xml:space="preserve"> </w:t>
      </w:r>
      <w:hyperlink r:id="rId199">
        <w:r>
          <w:rPr>
            <w:rStyle w:val="Hyperlink"/>
          </w:rPr>
          <w:t xml:space="preserve">CCEL</w:t>
        </w:r>
      </w:hyperlink>
      <w:r>
        <w:t xml:space="preserve">. Publisher orientation:</w:t>
      </w:r>
      <w:r>
        <w:t xml:space="preserve"> </w:t>
      </w:r>
      <w:hyperlink r:id="rId136">
        <w:r>
          <w:rPr>
            <w:rStyle w:val="Hyperlink"/>
          </w:rPr>
          <w:t xml:space="preserve">SEP entry</w:t>
        </w:r>
      </w:hyperlink>
      <w:r>
        <w:t xml:space="preserve">.</w:t>
      </w:r>
    </w:p>
    <w:p>
      <w:pPr>
        <w:pStyle w:val="BodyText"/>
      </w:pPr>
      <w:r>
        <w:rPr>
          <w:b/>
          <w:bCs/>
        </w:rPr>
        <w:t xml:space="preserve">Checked primary content, with OCR limitations:</w:t>
      </w:r>
      <w:r>
        <w:t xml:space="preserve"> </w:t>
      </w:r>
      <w:r>
        <w:t xml:space="preserve">II.5–6 describes participation in the whole Godhead without participation in a part; different seal-impressions are attributed to different recipients. V.8 describes exemplars as logoi preexisting unifiedly in God and as good divine wills, with one sun/many receptions as an analogy. IX.6–7 distinguishes reversible likeness between coordinate things from nonreversible cause/effect likeness, and combines likeness with dissimilarity. These do not amount to modern proofs of the whole proposed architecture.</w:t>
      </w:r>
      <w:r>
        <w:t xml:space="preserve"> </w:t>
      </w:r>
      <w:r>
        <w:rPr>
          <w:b/>
          <w:bCs/>
        </w:rPr>
        <w:t xml:space="preserve">Checked secondary excerpt:</w:t>
      </w:r>
      <w:r>
        <w:t xml:space="preserve"> </w:t>
      </w:r>
      <w:r>
        <w:t xml:space="preserve">SEP associates direct divine dependence with I.7, 596C–597A, and distinguishes causal divine names from their superessential attribution. It warns against treating God as the most proper creaturely instance. XI.6 still needs primary checking before asserting that its participations exclude independent Platonic hypostases.</w:t>
      </w:r>
    </w:p>
    <w:p>
      <w:pPr>
        <w:pStyle w:val="BodyText"/>
      </w:pPr>
      <w:r>
        <w:rPr>
          <w:b/>
          <w:bCs/>
        </w:rPr>
        <w:t xml:space="preserve">Reasonable reconstruction:</w:t>
      </w:r>
      <w:r>
        <w:t xml:space="preserve"> </w:t>
      </w:r>
      <w:r>
        <w:t xml:space="preserve">causal precontainment makes finite actuality expressive of its origin because the source is an intelligible cause of the effect’s determinate good. Mere dependence is insufficient: a thing can depend on another for existence without resembling it in every respect. Dionysius adds a causal account of the perfections that appear in effects. He does not prove this bridge from an uninterpreted causal arrow.</w:t>
      </w:r>
    </w:p>
    <w:p>
      <w:pPr>
        <w:pStyle w:val="BodyText"/>
      </w:pPr>
      <w:r>
        <w:rPr>
          <w:b/>
          <w:bCs/>
        </w:rPr>
        <w:t xml:space="preserve">Constructive reuse:</w:t>
      </w:r>
      <w:r>
        <w:t xml:space="preserve"> </w:t>
      </w:r>
      <w:r>
        <w:t xml:space="preserve">define a perfection correspondence between a finite realization and its source, while leaving the source’s mode unrepresented by the creature’s limitation. Do not put</w:t>
      </w:r>
      <w:r>
        <w:t xml:space="preserve"> </w:t>
      </w:r>
      <w:r>
        <w:t xml:space="preserve">“</w:t>
      </w:r>
      <w:r>
        <w:t xml:space="preserve">God already contains every creaturely feature in the same sense</w:t>
      </w:r>
      <w:r>
        <w:t xml:space="preserve">”</w:t>
      </w:r>
      <w:r>
        <w:t xml:space="preserve"> </w:t>
      </w:r>
      <w:r>
        <w:t xml:space="preserve">into the definition. Privations, accidents, and material modes require exclusions and qualifications. The bridge must identify positive actuality rather than license an inference from every effect-predicate to a divine predicate.</w:t>
      </w:r>
    </w:p>
    <w:p>
      <w:pPr>
        <w:pStyle w:val="BodyText"/>
      </w:pPr>
      <w:r>
        <w:t xml:space="preserve">“</w:t>
      </w:r>
      <w:r>
        <w:t xml:space="preserve">Beyond being</w:t>
      </w:r>
      <w:r>
        <w:t xml:space="preserve">”</w:t>
      </w:r>
      <w:r>
        <w:t xml:space="preserve"> </w:t>
      </w:r>
      <w:r>
        <w:t xml:space="preserve">also resists treating God and creatures as species in a shared ontological genus. This is a metaphysical and semantic commitment, not something obtained merely from unequal quantities of a common property. Nor should Dionysius’s contrast between the unparticipated cause and participated gifts be prematurely translated into either Aquinas’s account of created perfections or Palamas’s mature account of uncreated energies.</w:t>
      </w:r>
    </w:p>
    <w:p>
      <w:pPr>
        <w:pStyle w:val="BodyText"/>
      </w:pPr>
      <w:r>
        <w:rPr>
          <w:b/>
          <w:bCs/>
        </w:rPr>
        <w:t xml:space="preserve">Interpretive pressure:</w:t>
      </w:r>
      <w:r>
        <w:t xml:space="preserve"> </w:t>
      </w:r>
      <w:r>
        <w:t xml:space="preserve">Andrew Louth,</w:t>
      </w:r>
      <w:r>
        <w:t xml:space="preserve"> </w:t>
      </w:r>
      <w:r>
        <w:rPr>
          <w:i/>
          <w:iCs/>
        </w:rPr>
        <w:t xml:space="preserve">Denys the Areopagite</w:t>
      </w:r>
      <w:r>
        <w:t xml:space="preserve"> </w:t>
      </w:r>
      <w:r>
        <w:t xml:space="preserve">(1989), and Paul Rorem,</w:t>
      </w:r>
      <w:r>
        <w:t xml:space="preserve"> </w:t>
      </w:r>
      <w:r>
        <w:rPr>
          <w:i/>
          <w:iCs/>
        </w:rPr>
        <w:t xml:space="preserve">Pseudo-Dionysius: A Commentary on the Texts and an Introduction to Their Influence</w:t>
      </w:r>
      <w:r>
        <w:t xml:space="preserve"> </w:t>
      </w:r>
      <w:r>
        <w:t xml:space="preserve">(1993), provide theological and textual controls. Eric D. Perl,</w:t>
      </w:r>
      <w:r>
        <w:t xml:space="preserve"> </w:t>
      </w:r>
      <w:r>
        <w:rPr>
          <w:i/>
          <w:iCs/>
        </w:rPr>
        <w:t xml:space="preserve">Theophany: The Neoplatonic Philosophy of Dionysius the Areopagite</w:t>
      </w:r>
      <w:r>
        <w:t xml:space="preserve"> </w:t>
      </w:r>
      <w:r>
        <w:t xml:space="preserve">(2007), develops a strong manifestation reading. These should be compared rather than treating manifestation as the uncontested meaning of Christian creation. The consulted SEP excerpt rejects the easy generalization that pagan Neoplatonism is necessary, mediated emanation whereas Dionysius alone supplies freedom and immediate causation. Do not make a hostile caricature do the rival-model test’s work. Necessary metaphysical procession and freely willed creation are distinguishable models; invoking divine wills does not by itself settle their modal interpretation.</w:t>
      </w:r>
    </w:p>
    <w:bookmarkEnd w:id="200"/>
    <w:bookmarkStart w:id="201" w:name="Xb1f8af1545747d2bfa37d86d81f0674b7f6a1af"/>
    <w:p>
      <w:pPr>
        <w:pStyle w:val="Heading3"/>
      </w:pPr>
      <w:r>
        <w:t xml:space="preserve">2. Maximus: logoi explain intelligibility, not an automatic modal inference</w:t>
      </w:r>
    </w:p>
    <w:p>
      <w:pPr>
        <w:pStyle w:val="FirstParagraph"/>
      </w:pPr>
      <w:r>
        <w:rPr>
          <w:b/>
          <w:bCs/>
        </w:rPr>
        <w:t xml:space="preserve">Primary locus:</w:t>
      </w:r>
      <w:r>
        <w:t xml:space="preserve"> </w:t>
      </w:r>
      <w:r>
        <w:rPr>
          <w:i/>
          <w:iCs/>
        </w:rPr>
        <w:t xml:space="preserve">Ambiguum</w:t>
      </w:r>
      <w:r>
        <w:t xml:space="preserve"> </w:t>
      </w:r>
      <w:r>
        <w:t xml:space="preserve">7, PG 91, 1077–1081, was read in a</w:t>
      </w:r>
      <w:r>
        <w:t xml:space="preserve"> </w:t>
      </w:r>
      <w:hyperlink r:id="rId118">
        <w:r>
          <w:rPr>
            <w:rStyle w:val="Hyperlink"/>
          </w:rPr>
          <w:t xml:space="preserve">Greek transcription mirror</w:t>
        </w:r>
      </w:hyperlink>
      <w:r>
        <w:t xml:space="preserve">, file labels</w:t>
      </w:r>
      <w:r>
        <w:t xml:space="preserve"> </w:t>
      </w:r>
      <w:r>
        <w:rPr>
          <w:rStyle w:val="VerbatimChar"/>
        </w:rPr>
        <w:t xml:space="preserve">ΠΡ 2.11–2.16</w:t>
      </w:r>
      <w:r>
        <w:t xml:space="preserve">. Its edition and transcription provenance are undocumented:</w:t>
      </w:r>
      <w:r>
        <w:t xml:space="preserve"> </w:t>
      </w:r>
      <w:r>
        <w:rPr>
          <w:b/>
          <w:bCs/>
        </w:rPr>
        <w:t xml:space="preserve">a provisional primary-text witness, not a verified reliable edition</w:t>
      </w:r>
      <w:r>
        <w:t xml:space="preserve">. Collate with Nicholas Constas,</w:t>
      </w:r>
      <w:r>
        <w:t xml:space="preserve"> </w:t>
      </w:r>
      <w:r>
        <w:rPr>
          <w:i/>
          <w:iCs/>
        </w:rPr>
        <w:t xml:space="preserve">On Difficulties in the Church Fathers: The Ambigua</w:t>
      </w:r>
      <w:r>
        <w:t xml:space="preserve">, 2 vols. (2014), and the wider standard locus 1077C–1085A.</w:t>
      </w:r>
    </w:p>
    <w:p>
      <w:pPr>
        <w:pStyle w:val="BodyText"/>
      </w:pPr>
      <w:r>
        <w:rPr>
          <w:b/>
          <w:bCs/>
        </w:rPr>
        <w:t xml:space="preserve">Content located in the provisional witness:</w:t>
      </w:r>
      <w:r>
        <w:t xml:space="preserve"> </w:t>
      </w:r>
      <w:r>
        <w:t xml:space="preserve">differentiated logoi refer creatures to the one Logos. Good divine willing brings things from nonbeing according to their logoi and fitting times. Actual creatures are not actual simultaneously with their logoi or with their being known by God; they acquire actuality at their appropriate times. The same passage contrasts the infinite and finite, unmeasured and measured, and concludes with the one Logos/many logoi. This supports intelligibility/actualization and mode distinctions but awaits reliable-edition collation. Maximus’s account is Christological and teleological, not a neutral modern calculus.</w:t>
      </w:r>
    </w:p>
    <w:p>
      <w:pPr>
        <w:pStyle w:val="BodyText"/>
      </w:pPr>
      <w:r>
        <w:rPr>
          <w:b/>
          <w:bCs/>
        </w:rPr>
        <w:t xml:space="preserve">Reasonable reconstruction:</w:t>
      </w:r>
      <w:r>
        <w:t xml:space="preserve"> </w:t>
      </w:r>
      <w:r>
        <w:t xml:space="preserve">distinguish a creature’s intelligibility from its realized existence. An intelligible divine intention does not supply an independently existing essence that subsequently receives actuality. Nor is the creature’s realization an acquisition of knowledge by God. The distinction between intelligibility and existence permits a question about contingency without answering it by definition.</w:t>
      </w:r>
    </w:p>
    <w:p>
      <w:pPr>
        <w:pStyle w:val="BodyText"/>
      </w:pPr>
      <w:r>
        <w:rPr>
          <w:b/>
          <w:bCs/>
        </w:rPr>
        <w:t xml:space="preserve">Constructive reuse:</w:t>
      </w:r>
      <w:r>
        <w:t xml:space="preserve"> </w:t>
      </w:r>
      <w:r>
        <w:t xml:space="preserve">a single source can ground many determinate intentions concerning creatures. However, the proposal that every such difference belongs exclusively to the source’s relation to a created effect, rather than to its intrinsic being, is a modern metaphysical reconstruction; it should not be attributed to Maximus merely because logoi are united in the Logos. Likewise, substituting the word</w:t>
      </w:r>
      <w:r>
        <w:t xml:space="preserve"> </w:t>
      </w:r>
      <w:r>
        <w:t xml:space="preserve">“</w:t>
      </w:r>
      <w:r>
        <w:t xml:space="preserve">formalities</w:t>
      </w:r>
      <w:r>
        <w:t xml:space="preserve">”</w:t>
      </w:r>
      <w:r>
        <w:t xml:space="preserve"> </w:t>
      </w:r>
      <w:r>
        <w:t xml:space="preserve">imports another school’s technical apparatus.</w:t>
      </w:r>
    </w:p>
    <w:p>
      <w:pPr>
        <w:pStyle w:val="BodyText"/>
      </w:pPr>
      <w:r>
        <w:rPr>
          <w:b/>
          <w:bCs/>
        </w:rPr>
        <w:t xml:space="preserve">Modal test:</w:t>
      </w:r>
      <w:r>
        <w:t xml:space="preserve"> </w:t>
      </w:r>
      <w:r>
        <w:t xml:space="preserve">an infinite source with inexhaustible logoi can still be stipulated to produce one necessary world, necessarily produce every admissible creature, or necessarily produce some world while having alternatives concerning which world. All three models preserve non-exhaustion. Contingency requires another premise about volition or the absence of a necessitating relation between divine fullness and an ad-extra result. The logoi doctrine gives resources for that premise, not a proof of it from infinity alone.</w:t>
      </w:r>
    </w:p>
    <w:p>
      <w:pPr>
        <w:pStyle w:val="BodyText"/>
      </w:pPr>
      <w:r>
        <w:t xml:space="preserve">Specialist controls: Lars Thunberg,</w:t>
      </w:r>
      <w:r>
        <w:t xml:space="preserve"> </w:t>
      </w:r>
      <w:r>
        <w:rPr>
          <w:i/>
          <w:iCs/>
        </w:rPr>
        <w:t xml:space="preserve">Microcosm and Mediator</w:t>
      </w:r>
      <w:r>
        <w:t xml:space="preserve">, 2nd ed. (1995); Andrew Louth,</w:t>
      </w:r>
      <w:r>
        <w:t xml:space="preserve"> </w:t>
      </w:r>
      <w:r>
        <w:rPr>
          <w:i/>
          <w:iCs/>
        </w:rPr>
        <w:t xml:space="preserve">Maximus the Confessor</w:t>
      </w:r>
      <w:r>
        <w:t xml:space="preserve"> </w:t>
      </w:r>
      <w:r>
        <w:t xml:space="preserve">(1996); Torstein Tollefsen,</w:t>
      </w:r>
      <w:r>
        <w:t xml:space="preserve"> </w:t>
      </w:r>
      <w:r>
        <w:rPr>
          <w:i/>
          <w:iCs/>
        </w:rPr>
        <w:t xml:space="preserve">The Christocentric Cosmology of St Maximus the Confessor</w:t>
      </w:r>
      <w:r>
        <w:t xml:space="preserve"> </w:t>
      </w:r>
      <w:r>
        <w:t xml:space="preserve">(2008); Paul M. Blowers,</w:t>
      </w:r>
      <w:r>
        <w:t xml:space="preserve"> </w:t>
      </w:r>
      <w:r>
        <w:rPr>
          <w:i/>
          <w:iCs/>
        </w:rPr>
        <w:t xml:space="preserve">Maximus the Confessor: Jesus Christ and the Transfiguration of the World</w:t>
      </w:r>
      <w:r>
        <w:t xml:space="preserve"> </w:t>
      </w:r>
      <w:r>
        <w:t xml:space="preserve">(2016). Compare their accounts of participation, personhood, and divine willing; do not flatten Maximus’s Christological fulfillment into generic emanation.</w:t>
      </w:r>
    </w:p>
    <w:bookmarkEnd w:id="201"/>
    <w:bookmarkStart w:id="203" w:name="X18edbcf4b3e7a1499018429c27d3ce7983a98b8"/>
    <w:p>
      <w:pPr>
        <w:pStyle w:val="Heading3"/>
      </w:pPr>
      <w:r>
        <w:t xml:space="preserve">3. Eriugena: theophany exposes the constitution problem</w:t>
      </w:r>
    </w:p>
    <w:p>
      <w:pPr>
        <w:pStyle w:val="FirstParagraph"/>
      </w:pPr>
      <w:r>
        <w:rPr>
          <w:b/>
          <w:bCs/>
        </w:rPr>
        <w:t xml:space="preserve">Primary loci, now located through secondary excerpts but not checked directly:</w:t>
      </w:r>
      <w:r>
        <w:t xml:space="preserve"> </w:t>
      </w:r>
      <w:r>
        <w:rPr>
          <w:i/>
          <w:iCs/>
        </w:rPr>
        <w:t xml:space="preserve">Periphyseon</w:t>
      </w:r>
      <w:r>
        <w:t xml:space="preserve"> </w:t>
      </w:r>
      <w:r>
        <w:t xml:space="preserve">I, PL 122, 441A–442B, for the fourfold division; I.446D and I.455B for divine self-manifestation; Book II for primordial causes; V.910D–912B for cause and effect as correlative terms; IV.796B for continuing Creator/created distinction. Use Édouard Jeauneau’s critical edition,</w:t>
      </w:r>
      <w:r>
        <w:t xml:space="preserve"> </w:t>
      </w:r>
      <w:r>
        <w:rPr>
          <w:i/>
          <w:iCs/>
        </w:rPr>
        <w:t xml:space="preserve">Iohannis Scotti seu Eriugenae Periphyseon</w:t>
      </w:r>
      <w:r>
        <w:t xml:space="preserve">, CCCM 161–165 (1996–2003), and I. P. Sheldon-Williams’s translation, revised by John J. O’Meara (1987). Publisher entry:</w:t>
      </w:r>
      <w:r>
        <w:t xml:space="preserve"> </w:t>
      </w:r>
      <w:hyperlink r:id="rId202">
        <w:r>
          <w:rPr>
            <w:rStyle w:val="Hyperlink"/>
          </w:rPr>
          <w:t xml:space="preserve">SEP</w:t>
        </w:r>
      </w:hyperlink>
      <w:r>
        <w:t xml:space="preserve">; its body prose was recovered through the archive above.</w:t>
      </w:r>
    </w:p>
    <w:p>
      <w:pPr>
        <w:pStyle w:val="BodyText"/>
      </w:pPr>
      <w:r>
        <w:rPr>
          <w:b/>
          <w:bCs/>
        </w:rPr>
        <w:t xml:space="preserve">Explicit doctrine, subject to textual checking:</w:t>
      </w:r>
      <w:r>
        <w:t xml:space="preserve"> </w:t>
      </w:r>
      <w:r>
        <w:t xml:space="preserve">the fourfold division includes uncreated creating nature, created creating nature, created noncreating nature, and nature neither creating nor created. Primordial causes and theophanies articulate procession and return. The divine exceeds determinate predication, while created manifestation permits divine intelligibility.</w:t>
      </w:r>
    </w:p>
    <w:p>
      <w:pPr>
        <w:pStyle w:val="BodyText"/>
      </w:pPr>
      <w:r>
        <w:rPr>
          <w:b/>
          <w:bCs/>
        </w:rPr>
        <w:t xml:space="preserve">Reasonable reconstruction:</w:t>
      </w:r>
      <w:r>
        <w:t xml:space="preserve"> </w:t>
      </w:r>
      <w:r>
        <w:t xml:space="preserve">theophany shows how finite things can reveal their source without an independent Form standing between them and God. It also raises a sharper question than a generic likeness theory: is manifestation an effect of divine actuality, or a stage in the constitution of divine actuality?</w:t>
      </w:r>
    </w:p>
    <w:p>
      <w:pPr>
        <w:pStyle w:val="BodyText"/>
      </w:pPr>
      <w:r>
        <w:rPr>
          <w:b/>
          <w:bCs/>
        </w:rPr>
        <w:t xml:space="preserve">Constructive retrieval:</w:t>
      </w:r>
      <w:r>
        <w:t xml:space="preserve"> </w:t>
      </w:r>
      <w:r>
        <w:t xml:space="preserve">take the first possibility while explicitly rejecting the latter as a basis for the target system. A manifestation relation cannot replace dependence unless an argument establishes that the manifesting finite actuality is caused and sustained by its source. And the source’s being manifest must not be treated as the acquisition of a perfection missing before manifestation.</w:t>
      </w:r>
    </w:p>
    <w:p>
      <w:pPr>
        <w:pStyle w:val="BodyText"/>
      </w:pPr>
      <w:r>
        <w:rPr>
          <w:b/>
          <w:bCs/>
        </w:rPr>
        <w:t xml:space="preserve">Disagreement:</w:t>
      </w:r>
      <w:r>
        <w:t xml:space="preserve"> </w:t>
      </w:r>
      <w:r>
        <w:t xml:space="preserve">“</w:t>
      </w:r>
      <w:r>
        <w:t xml:space="preserve">pantheist</w:t>
      </w:r>
      <w:r>
        <w:t xml:space="preserve">”</w:t>
      </w:r>
      <w:r>
        <w:t xml:space="preserve"> </w:t>
      </w:r>
      <w:r>
        <w:t xml:space="preserve">is not an adequate summary, but neither is a declaration that all troubling language is harmless metaphor. The consulted SEP prose explicitly discusses both cosmological identity language and rejection of God as literal genus or whole; it also juxtaposes Creator/created difference (IV.796B) with image/exemplar identity except in subject (IV.778A). It therefore confirms that the problem cannot be erased by selecting only reassuring sentences. Cause and effect’s semantic correlation at V.910D–912B must also be distinguished from a proof that divine actuality ontologically depends on creatures. Dermot Moran,</w:t>
      </w:r>
      <w:r>
        <w:t xml:space="preserve"> </w:t>
      </w:r>
      <w:r>
        <w:rPr>
          <w:i/>
          <w:iCs/>
        </w:rPr>
        <w:t xml:space="preserve">The Philosophy of John Scottus Eriugena</w:t>
      </w:r>
      <w:r>
        <w:t xml:space="preserve"> </w:t>
      </w:r>
      <w:r>
        <w:t xml:space="preserve">(1989), and Deirdre Carabine,</w:t>
      </w:r>
      <w:r>
        <w:t xml:space="preserve"> </w:t>
      </w:r>
      <w:r>
        <w:rPr>
          <w:i/>
          <w:iCs/>
        </w:rPr>
        <w:t xml:space="preserve">John Scottus Eriugena</w:t>
      </w:r>
      <w:r>
        <w:t xml:space="preserve"> </w:t>
      </w:r>
      <w:r>
        <w:t xml:space="preserve">(2000), are controls for further primary work. The synthesis may retrieve non-exhaustive theophany while refusing constitutive divine self-manifestation; this is a</w:t>
      </w:r>
      <w:r>
        <w:t xml:space="preserve"> </w:t>
      </w:r>
      <w:r>
        <w:rPr>
          <w:b/>
          <w:bCs/>
        </w:rPr>
        <w:t xml:space="preserve">selection and correction</w:t>
      </w:r>
      <w:r>
        <w:t xml:space="preserve">, not attribution of the final system to Eriugena.</w:t>
      </w:r>
    </w:p>
    <w:bookmarkEnd w:id="203"/>
    <w:bookmarkStart w:id="205" w:name="X2cdf5793a6611a21948949d93809d2d9dd259dd"/>
    <w:p>
      <w:pPr>
        <w:pStyle w:val="Heading3"/>
      </w:pPr>
      <w:r>
        <w:t xml:space="preserve">4. Nicholas of Cusa: enfolding needs a nonliteral ontology</w:t>
      </w:r>
    </w:p>
    <w:p>
      <w:pPr>
        <w:pStyle w:val="FirstParagraph"/>
      </w:pPr>
      <w:r>
        <w:rPr>
          <w:b/>
          <w:bCs/>
        </w:rPr>
        <w:t xml:space="preserve">Primary loci to check:</w:t>
      </w:r>
      <w:r>
        <w:t xml:space="preserve"> </w:t>
      </w:r>
      <w:r>
        <w:rPr>
          <w:i/>
          <w:iCs/>
        </w:rPr>
        <w:t xml:space="preserve">De docta ignorantia</w:t>
      </w:r>
      <w:r>
        <w:t xml:space="preserve"> </w:t>
      </w:r>
      <w:r>
        <w:t xml:space="preserve">I.2–3 (absolute maximum and the limits of precision), II.2–4 (creation, enfolding/unfolding, the contracted universe). Chapter II.3 is confirmed as the</w:t>
      </w:r>
      <w:r>
        <w:t xml:space="preserve"> </w:t>
      </w:r>
      <w:r>
        <w:rPr>
          <w:i/>
          <w:iCs/>
        </w:rPr>
        <w:t xml:space="preserve">complicatio/explicatio</w:t>
      </w:r>
      <w:r>
        <w:t xml:space="preserve"> </w:t>
      </w:r>
      <w:r>
        <w:t xml:space="preserve">locus by an embedded Hopkins quotation in the consulted SEP excerpt. That excerpt expressly distinguishes creatures’ dependence and divine presence from identity, and distinguishes the universe’s unboundedness from God’s ontological unlimitedness. Consult Jasper Hopkins,</w:t>
      </w:r>
      <w:r>
        <w:t xml:space="preserve"> </w:t>
      </w:r>
      <w:r>
        <w:rPr>
          <w:i/>
          <w:iCs/>
        </w:rPr>
        <w:t xml:space="preserve">Nicholas of Cusa on Learned Ignorance: A Translation and an Appraisal</w:t>
      </w:r>
      <w:r>
        <w:t xml:space="preserve">, 2nd ed. (1985), available from his</w:t>
      </w:r>
      <w:r>
        <w:t xml:space="preserve"> </w:t>
      </w:r>
      <w:hyperlink r:id="rId204">
        <w:r>
          <w:rPr>
            <w:rStyle w:val="Hyperlink"/>
          </w:rPr>
          <w:t xml:space="preserve">translation site</w:t>
        </w:r>
      </w:hyperlink>
      <w:r>
        <w:t xml:space="preserve">, currently blocked here.</w:t>
      </w:r>
      <w:r>
        <w:t xml:space="preserve"> </w:t>
      </w:r>
      <w:r>
        <w:rPr>
          <w:i/>
          <w:iCs/>
        </w:rPr>
        <w:t xml:space="preserve">Apologia doctae ignorantiae</w:t>
      </w:r>
      <w:r>
        <w:t xml:space="preserve"> </w:t>
      </w:r>
      <w:r>
        <w:t xml:space="preserve">answers Johannes Wenck’s criticism and is a further check on alleged collapse of Creator and creation.</w:t>
      </w:r>
    </w:p>
    <w:p>
      <w:pPr>
        <w:pStyle w:val="BodyText"/>
      </w:pPr>
      <w:r>
        <w:rPr>
          <w:b/>
          <w:bCs/>
        </w:rPr>
        <w:t xml:space="preserve">Explicit doctrine, subject to textual checking:</w:t>
      </w:r>
      <w:r>
        <w:t xml:space="preserve"> </w:t>
      </w:r>
      <w:r>
        <w:t xml:space="preserve">the absolute maximum exceeds the determinate comparative order; the universe is contracted rather than absolute. Enfolding/unfolding expresses the unity of the source and differentiation of finite realization. Learned ignorance preserves the failure of a finite conception to attain divine precision.</w:t>
      </w:r>
    </w:p>
    <w:p>
      <w:pPr>
        <w:pStyle w:val="BodyText"/>
      </w:pPr>
      <w:r>
        <w:rPr>
          <w:b/>
          <w:bCs/>
        </w:rPr>
        <w:t xml:space="preserve">Reasonable reconstruction:</w:t>
      </w:r>
      <w:r>
        <w:t xml:space="preserve"> </w:t>
      </w:r>
      <w:r>
        <w:t xml:space="preserve">a creature’s determination does not measure divine actuality. This supports the distinction between the finite character of participation and the unbounded source. It does not show that finite determination is unreal or that incompatible creaturely predicates are interchangeable.</w:t>
      </w:r>
    </w:p>
    <w:p>
      <w:pPr>
        <w:pStyle w:val="BodyText"/>
      </w:pPr>
      <w:r>
        <w:rPr>
          <w:b/>
          <w:bCs/>
        </w:rPr>
        <w:t xml:space="preserve">Constructive reuse:</w:t>
      </w:r>
      <w:r>
        <w:t xml:space="preserve"> </w:t>
      </w:r>
      <w:r>
        <w:t xml:space="preserve">treat enfolding as causal and intelligible grounding, not literal set-membership, spatial containment, or whole-part composition. Unfolding then signifies a differentiated effect rather than the source being cut into determinate pieces. This interpretation needs an independently stated nonconstitution condition; the image alone does not enforce it.</w:t>
      </w:r>
    </w:p>
    <w:p>
      <w:pPr>
        <w:pStyle w:val="BodyText"/>
      </w:pPr>
      <w:r>
        <w:t xml:space="preserve">Do not turn the coincidence of opposites into unrestricted dialetheism. Nor does an appeal to ineffability prove consistency: the system still owes a coherent account of determinate created effects. Clyde Lee Miller,</w:t>
      </w:r>
      <w:r>
        <w:t xml:space="preserve"> </w:t>
      </w:r>
      <w:r>
        <w:rPr>
          <w:i/>
          <w:iCs/>
        </w:rPr>
        <w:t xml:space="preserve">Reading Cusanus: Metaphor and Dialectic in a Conjectural Universe</w:t>
      </w:r>
      <w:r>
        <w:t xml:space="preserve"> </w:t>
      </w:r>
      <w:r>
        <w:t xml:space="preserve">(2003), and Peter J. Casarella, ed.,</w:t>
      </w:r>
      <w:r>
        <w:t xml:space="preserve"> </w:t>
      </w:r>
      <w:r>
        <w:rPr>
          <w:i/>
          <w:iCs/>
        </w:rPr>
        <w:t xml:space="preserve">Cusanus: The Legacy of Learned Ignorance</w:t>
      </w:r>
      <w:r>
        <w:t xml:space="preserve"> </w:t>
      </w:r>
      <w:r>
        <w:t xml:space="preserve">(2006), supplement Hopkins. The dispute concerns how metaphors and limit-concepts express a metaphysics, not simply whether Cusa preferred transcendent language.</w:t>
      </w:r>
    </w:p>
    <w:bookmarkEnd w:id="205"/>
    <w:bookmarkStart w:id="207" w:name="X483af683a556e24c4a990a0f61d322f926ee964"/>
    <w:p>
      <w:pPr>
        <w:pStyle w:val="Heading3"/>
      </w:pPr>
      <w:r>
        <w:t xml:space="preserve">5. Damascene and Palamas: a limit on the common simplicity thesis</w:t>
      </w:r>
    </w:p>
    <w:p>
      <w:pPr>
        <w:pStyle w:val="FirstParagraph"/>
      </w:pPr>
      <w:r>
        <w:t xml:space="preserve">John Damascene’s</w:t>
      </w:r>
      <w:r>
        <w:t xml:space="preserve"> </w:t>
      </w:r>
      <w:r>
        <w:rPr>
          <w:i/>
          <w:iCs/>
        </w:rPr>
        <w:t xml:space="preserve">Exposition of the Orthodox Faith</w:t>
      </w:r>
      <w:r>
        <w:t xml:space="preserve"> </w:t>
      </w:r>
      <w:r>
        <w:t xml:space="preserve">I.8–9, I.13–14, and II.2 remain primary-checking targets;</w:t>
      </w:r>
      <w:r>
        <w:t xml:space="preserve"> </w:t>
      </w:r>
      <w:hyperlink r:id="rId206">
        <w:r>
          <w:rPr>
            <w:rStyle w:val="Hyperlink"/>
          </w:rPr>
          <w:t xml:space="preserve">New Advent</w:t>
        </w:r>
      </w:hyperlink>
      <w:r>
        <w:t xml:space="preserve"> </w:t>
      </w:r>
      <w:r>
        <w:t xml:space="preserve">was inaccessible.</w:t>
      </w:r>
      <w:r>
        <w:t xml:space="preserve"> </w:t>
      </w:r>
      <w:r>
        <w:rPr>
          <w:b/>
          <w:bCs/>
        </w:rPr>
        <w:t xml:space="preserve">Actually consulted primary translation:</w:t>
      </w:r>
      <w:r>
        <w:t xml:space="preserve"> </w:t>
      </w:r>
      <w:r>
        <w:rPr>
          <w:i/>
          <w:iCs/>
        </w:rPr>
        <w:t xml:space="preserve">On Holy Images</w:t>
      </w:r>
      <w:r>
        <w:t xml:space="preserve">, third treatise, Allies’s subsections</w:t>
      </w:r>
      <w:r>
        <w:t xml:space="preserve"> </w:t>
      </w:r>
      <w:r>
        <w:t xml:space="preserve">“</w:t>
      </w:r>
      <w:r>
        <w:t xml:space="preserve">1st Point.—What is an Image?</w:t>
      </w:r>
      <w:r>
        <w:t xml:space="preserve">”</w:t>
      </w:r>
      <w:r>
        <w:t xml:space="preserve"> </w:t>
      </w:r>
      <w:r>
        <w:t xml:space="preserve">and</w:t>
      </w:r>
      <w:r>
        <w:t xml:space="preserve"> </w:t>
      </w:r>
      <w:r>
        <w:t xml:space="preserve">“</w:t>
      </w:r>
      <w:r>
        <w:t xml:space="preserve">3rd Point.—How many kinds of Images there are.</w:t>
      </w:r>
      <w:r>
        <w:t xml:space="preserve">”</w:t>
      </w:r>
      <w:r>
        <w:t xml:space="preserve"> </w:t>
      </w:r>
      <w:r>
        <w:t xml:space="preserve">The first distinguishes an image from its original and notes that representing bodily form need not communicate mental powers or life. The second distinguishes the Son’s natural image from divine foreknowledge, created imitation, symbolic representation, anticipation, and memorial images. Creaturely imitation thus cannot be equated with the Son’s natural relation or with God’s eternal counsels. This provides a direct category test against deriving every kind of participation from a single unqualified likeness. Modern checking should use Andrew Louth, trans.,</w:t>
      </w:r>
      <w:r>
        <w:t xml:space="preserve"> </w:t>
      </w:r>
      <w:r>
        <w:rPr>
          <w:i/>
          <w:iCs/>
        </w:rPr>
        <w:t xml:space="preserve">Three Treatises on the Divine Images</w:t>
      </w:r>
      <w:r>
        <w:t xml:space="preserve"> </w:t>
      </w:r>
      <w:r>
        <w:t xml:space="preserve">(2003).</w:t>
      </w:r>
    </w:p>
    <w:p>
      <w:pPr>
        <w:pStyle w:val="BodyText"/>
      </w:pPr>
      <w:r>
        <w:t xml:space="preserve">Palamas materially helps precisely where</w:t>
      </w:r>
      <w:r>
        <w:t xml:space="preserve"> </w:t>
      </w:r>
      <w:r>
        <w:t xml:space="preserve">“</w:t>
      </w:r>
      <w:r>
        <w:t xml:space="preserve">real participation without constituent identity</w:t>
      </w:r>
      <w:r>
        <w:t xml:space="preserve">”</w:t>
      </w:r>
      <w:r>
        <w:t xml:space="preserve"> </w:t>
      </w:r>
      <w:r>
        <w:t xml:space="preserve">is too quickly identified with one Western explanation. Consult</w:t>
      </w:r>
      <w:r>
        <w:t xml:space="preserve"> </w:t>
      </w:r>
      <w:r>
        <w:rPr>
          <w:i/>
          <w:iCs/>
        </w:rPr>
        <w:t xml:space="preserve">Triads</w:t>
      </w:r>
      <w:r>
        <w:t xml:space="preserve"> </w:t>
      </w:r>
      <w:r>
        <w:t xml:space="preserve">III.1–2 and</w:t>
      </w:r>
      <w:r>
        <w:t xml:space="preserve"> </w:t>
      </w:r>
      <w:r>
        <w:rPr>
          <w:i/>
          <w:iCs/>
        </w:rPr>
        <w:t xml:space="preserve">One Hundred and Fifty Chapters</w:t>
      </w:r>
      <w:r>
        <w:t xml:space="preserve"> </w:t>
      </w:r>
      <w:r>
        <w:t xml:space="preserve">on essence and energies; this dossier does</w:t>
      </w:r>
      <w:r>
        <w:t xml:space="preserve"> </w:t>
      </w:r>
      <w:r>
        <w:rPr>
          <w:b/>
          <w:bCs/>
        </w:rPr>
        <w:t xml:space="preserve">not</w:t>
      </w:r>
      <w:r>
        <w:t xml:space="preserve"> </w:t>
      </w:r>
      <w:r>
        <w:t xml:space="preserve">claim checked sentence-level loci. Editions: John Meyendorff, ed., Nicholas Gendle, trans.,</w:t>
      </w:r>
      <w:r>
        <w:t xml:space="preserve"> </w:t>
      </w:r>
      <w:r>
        <w:rPr>
          <w:i/>
          <w:iCs/>
        </w:rPr>
        <w:t xml:space="preserve">Gregory Palamas: The Triads</w:t>
      </w:r>
      <w:r>
        <w:t xml:space="preserve"> </w:t>
      </w:r>
      <w:r>
        <w:t xml:space="preserve">(1983); Robert E. Sinkewicz,</w:t>
      </w:r>
      <w:r>
        <w:t xml:space="preserve"> </w:t>
      </w:r>
      <w:r>
        <w:rPr>
          <w:i/>
          <w:iCs/>
        </w:rPr>
        <w:t xml:space="preserve">Saint Gregory Palamas: The One Hundred and Fifty Chapters: A Critical Edition, Translation and Study</w:t>
      </w:r>
      <w:r>
        <w:t xml:space="preserve"> </w:t>
      </w:r>
      <w:r>
        <w:t xml:space="preserve">(1988). Specialist comparison: David Bradshaw,</w:t>
      </w:r>
      <w:r>
        <w:t xml:space="preserve"> </w:t>
      </w:r>
      <w:r>
        <w:rPr>
          <w:i/>
          <w:iCs/>
        </w:rPr>
        <w:t xml:space="preserve">Aristotle East and West</w:t>
      </w:r>
      <w:r>
        <w:t xml:space="preserve"> </w:t>
      </w:r>
      <w:r>
        <w:t xml:space="preserve">(2004), and Norman Russell,</w:t>
      </w:r>
      <w:r>
        <w:t xml:space="preserve"> </w:t>
      </w:r>
      <w:r>
        <w:rPr>
          <w:i/>
          <w:iCs/>
        </w:rPr>
        <w:t xml:space="preserve">Gregory Palamas and the Making of Palamism in the Modern Age</w:t>
      </w:r>
      <w:r>
        <w:t xml:space="preserve"> </w:t>
      </w:r>
      <w:r>
        <w:t xml:space="preserve">(2019).</w:t>
      </w:r>
    </w:p>
    <w:p>
      <w:pPr>
        <w:pStyle w:val="BodyText"/>
      </w:pPr>
      <w:r>
        <w:rPr>
          <w:b/>
          <w:bCs/>
        </w:rPr>
        <w:t xml:space="preserve">Explicit doctrine, subject to textual checking:</w:t>
      </w:r>
      <w:r>
        <w:t xml:space="preserve"> </w:t>
      </w:r>
      <w:r>
        <w:t xml:space="preserve">the divine essence is unparticipated; divine energies are uncreated and really participated. Palamas denies that this makes God composite. Real grace therefore cannot uniformly be paraphrased as a created copy of a perfection while presenting that paraphrase as a tradition-wide consensus.</w:t>
      </w:r>
    </w:p>
    <w:p>
      <w:pPr>
        <w:pStyle w:val="BodyText"/>
      </w:pPr>
      <w:r>
        <w:rPr>
          <w:b/>
          <w:bCs/>
        </w:rPr>
        <w:t xml:space="preserve">Constructive consequence:</w:t>
      </w:r>
      <w:r>
        <w:t xml:space="preserve"> </w:t>
      </w:r>
      <w:r>
        <w:t xml:space="preserve">separate three questions: whether the creature’s own finite actuality is created; whether the divine agency or gift present to the creature is uncreated; and whether that agency becomes a constituent of the creature’s created essence. An affirmative answer to the second does not require an affirmative answer to the third. The common grammar can affirm divine presence, nonconstitution, and asymmetric dependence without settling whether essence/energies are distinct in Palamas’s sense.</w:t>
      </w:r>
    </w:p>
    <w:p>
      <w:pPr>
        <w:pStyle w:val="BodyText"/>
      </w:pPr>
      <w:r>
        <w:t xml:space="preserve">A basis defining simplicity as</w:t>
      </w:r>
      <w:r>
        <w:t xml:space="preserve"> </w:t>
      </w:r>
      <w:r>
        <w:t xml:space="preserve">“</w:t>
      </w:r>
      <w:r>
        <w:t xml:space="preserve">no real divine distinctions of any kind</w:t>
      </w:r>
      <w:r>
        <w:t xml:space="preserve">”</w:t>
      </w:r>
      <w:r>
        <w:t xml:space="preserve"> </w:t>
      </w:r>
      <w:r>
        <w:t xml:space="preserve">excludes Palamas by stipulation. A basis defining simplicity as absence of parts or composition leaves an additional dispute concerning which distinctions imply composition. This dispute should remain visible. Convergence on nonpartition is not identity of every explanatory model.</w:t>
      </w:r>
    </w:p>
    <w:bookmarkEnd w:id="207"/>
    <w:bookmarkStart w:id="208" w:name="Xfcaf1003d129583c0eabd38dcbed9831eadac9b"/>
    <w:p>
      <w:pPr>
        <w:pStyle w:val="Heading3"/>
      </w:pPr>
      <w:r>
        <w:t xml:space="preserve">6. Consequences for the proposed minimal grammar</w:t>
      </w:r>
    </w:p>
    <w:p>
      <w:pPr>
        <w:pStyle w:val="Compact"/>
        <w:numPr>
          <w:ilvl w:val="0"/>
          <w:numId w:val="1008"/>
        </w:numPr>
      </w:pPr>
      <w:r>
        <w:rPr>
          <w:b/>
          <w:bCs/>
        </w:rPr>
        <w:t xml:space="preserve">Dependence does not entail likeness.</w:t>
      </w:r>
      <w:r>
        <w:t xml:space="preserve"> </w:t>
      </w:r>
      <w:r>
        <w:t xml:space="preserve">Dionysian precontainment and Maximian logoi support a separate intelligible-perfection bridge. A featureless sustaining source is a countermodel to a derivation from dependence alone.</w:t>
      </w:r>
    </w:p>
    <w:p>
      <w:pPr>
        <w:pStyle w:val="Compact"/>
        <w:numPr>
          <w:ilvl w:val="0"/>
          <w:numId w:val="1008"/>
        </w:numPr>
      </w:pPr>
      <w:r>
        <w:rPr>
          <w:b/>
          <w:bCs/>
        </w:rPr>
        <w:t xml:space="preserve">Manifestation does not entail causation or nonconstitution.</w:t>
      </w:r>
      <w:r>
        <w:t xml:space="preserve"> </w:t>
      </w:r>
      <w:r>
        <w:t xml:space="preserve">Eriugena and Cusa demonstrate why those relationships must be independently constrained.</w:t>
      </w:r>
    </w:p>
    <w:p>
      <w:pPr>
        <w:pStyle w:val="Compact"/>
        <w:numPr>
          <w:ilvl w:val="0"/>
          <w:numId w:val="1008"/>
        </w:numPr>
      </w:pPr>
      <w:r>
        <w:rPr>
          <w:b/>
          <w:bCs/>
        </w:rPr>
        <w:t xml:space="preserve">Non-exhaustion requires an excess premise.</w:t>
      </w:r>
      <w:r>
        <w:t xml:space="preserve"> </w:t>
      </w:r>
      <w:r>
        <w:t xml:space="preserve">Finite reception by itself leaves open a finite source exactly matched by its one effect. Infinity or an appropriately unrestricted actuality condition must be added for the stronger theorem.</w:t>
      </w:r>
    </w:p>
    <w:p>
      <w:pPr>
        <w:pStyle w:val="Compact"/>
        <w:numPr>
          <w:ilvl w:val="0"/>
          <w:numId w:val="1008"/>
        </w:numPr>
      </w:pPr>
      <w:r>
        <w:rPr>
          <w:b/>
          <w:bCs/>
        </w:rPr>
        <w:t xml:space="preserve">Non-exhaustion does not entail freedom.</w:t>
      </w:r>
      <w:r>
        <w:t xml:space="preserve"> </w:t>
      </w:r>
      <w:r>
        <w:t xml:space="preserve">A necessary emanation from an inexhaustible source is a countermodel. Volitional alternatives and the possibility of no creation require separate modal premises.</w:t>
      </w:r>
    </w:p>
    <w:p>
      <w:pPr>
        <w:pStyle w:val="Compact"/>
        <w:numPr>
          <w:ilvl w:val="0"/>
          <w:numId w:val="1008"/>
        </w:numPr>
      </w:pPr>
      <w:r>
        <w:rPr>
          <w:b/>
          <w:bCs/>
        </w:rPr>
        <w:t xml:space="preserve">Multiplicity of effects does not by itself settle divine simplicity.</w:t>
      </w:r>
      <w:r>
        <w:t xml:space="preserve"> </w:t>
      </w:r>
      <w:r>
        <w:t xml:space="preserve">One-to-many causal mapping establishes compatibility with one source; it does not prove the source lacks intrinsic structure.</w:t>
      </w:r>
    </w:p>
    <w:p>
      <w:pPr>
        <w:pStyle w:val="Compact"/>
        <w:numPr>
          <w:ilvl w:val="0"/>
          <w:numId w:val="1008"/>
        </w:numPr>
      </w:pPr>
      <w:r>
        <w:rPr>
          <w:b/>
          <w:bCs/>
        </w:rPr>
        <w:t xml:space="preserve">The common core is thinner than any complete school.</w:t>
      </w:r>
      <w:r>
        <w:t xml:space="preserve"> </w:t>
      </w:r>
      <w:r>
        <w:t xml:space="preserve">The shared targets are distinct finite realities, their true goodness, asymmetric dependence, real divine communication, and a source not partitioned or completed by them. Theories of divine ideas, energies, relations, and simplicity provide partly competing explanations.</w:t>
      </w:r>
    </w:p>
    <w:p>
      <w:pPr>
        <w:pStyle w:val="FirstParagraph"/>
      </w:pPr>
      <w:r>
        <w:t xml:space="preserve">The best synthesis calls participation a coordinated structure of ontological dependence and intelligible likeness under nonconstitution and source excess. Calling it a</w:t>
      </w:r>
      <w:r>
        <w:t xml:space="preserve"> </w:t>
      </w:r>
      <w:r>
        <w:t xml:space="preserve">“</w:t>
      </w:r>
      <w:r>
        <w:t xml:space="preserve">third relation</w:t>
      </w:r>
      <w:r>
        <w:t xml:space="preserve">”</w:t>
      </w:r>
      <w:r>
        <w:t xml:space="preserve"> </w:t>
      </w:r>
      <w:r>
        <w:t xml:space="preserve">is harmless only if that name does not replace the structure with an unexplained primitive. Newman-style development would conserve the common commitments, preserve each school’s achieved distinctions, mark new formalization, and disclose unresolved incompatibilities. It would not harmonize necessity with contingency, or created grace with uncreated energies, by changing their meanings unnoticed.</w:t>
      </w:r>
    </w:p>
    <w:bookmarkEnd w:id="208"/>
    <w:bookmarkEnd w:id="209"/>
    <w:p>
      <w:pPr>
        <w:pStyle w:val="Heading1"/>
      </w:pPr>
      <w:r>
        <w:t xml:space="preserve">Appendix E — latin-exemplarism.md</w:t>
      </w:r>
    </w:p>
    <w:p>
      <w:pPr>
        <w:pStyle w:val="FirstParagraph"/>
      </w:pPr>
      <w:r>
        <w:t xml:space="preserve">Original research file: https:/​/​participation-​6o4.​pages.​dev/​research/​latin-​exemplarism.​md</w:t>
      </w:r>
    </w:p>
    <w:bookmarkStart w:id="218" w:name="X241189c949bd96d6e9d9c6c66062fb2360aeddb"/>
    <w:p>
      <w:pPr>
        <w:pStyle w:val="Heading2"/>
      </w:pPr>
      <w:r>
        <w:t xml:space="preserve">Anselm, Bonaventure, and Henry of Ghent: constrained retrieval</w:t>
      </w:r>
    </w:p>
    <w:p>
      <w:pPr>
        <w:pStyle w:val="FirstParagraph"/>
      </w:pPr>
      <w:r>
        <w:t xml:space="preserve">This dossier supplies historical constraints for a constructive grammar, not a claim that these three authors held one formal system.</w:t>
      </w:r>
      <w:r>
        <w:t xml:space="preserve"> </w:t>
      </w:r>
      <w:r>
        <w:rPr>
          <w:b/>
          <w:bCs/>
        </w:rPr>
        <w:t xml:space="preserve">Explicit</w:t>
      </w:r>
      <w:r>
        <w:t xml:space="preserve"> </w:t>
      </w:r>
      <w:r>
        <w:t xml:space="preserve">below means a claim in a consulted textual witness;</w:t>
      </w:r>
      <w:r>
        <w:t xml:space="preserve"> </w:t>
      </w:r>
      <w:r>
        <w:rPr>
          <w:b/>
          <w:bCs/>
        </w:rPr>
        <w:t xml:space="preserve">reconstruction</w:t>
      </w:r>
      <w:r>
        <w:t xml:space="preserve"> </w:t>
      </w:r>
      <w:r>
        <w:t xml:space="preserve">means an interpretation of that claim;</w:t>
      </w:r>
      <w:r>
        <w:t xml:space="preserve"> </w:t>
      </w:r>
      <w:r>
        <w:rPr>
          <w:b/>
          <w:bCs/>
        </w:rPr>
        <w:t xml:space="preserve">proposal</w:t>
      </w:r>
      <w:r>
        <w:t xml:space="preserve"> </w:t>
      </w:r>
      <w:r>
        <w:t xml:space="preserve">means a new use in the project’s architecture.</w:t>
      </w:r>
    </w:p>
    <w:bookmarkStart w:id="211" w:name="source-status"/>
    <w:p>
      <w:pPr>
        <w:pStyle w:val="Heading3"/>
      </w:pPr>
      <w:r>
        <w:t xml:space="preserve">Source status</w:t>
      </w:r>
    </w:p>
    <w:p>
      <w:pPr>
        <w:pStyle w:val="FirstParagraph"/>
      </w:pPr>
      <w:r>
        <w:t xml:space="preserve">The publisher pages for the Stanford Encyclopedia of Philosophy (SEP), Jasper Hopkins’s translations, and the Franciscan Archive returned HTTPS proxy 403. A permitted GitHub route recovered ordinary SEP article prose, not vector embeddings, from</w:t>
      </w:r>
      <w:r>
        <w:t xml:space="preserve"> </w:t>
      </w:r>
      <w:r>
        <w:rPr>
          <w:rStyle w:val="VerbatimChar"/>
        </w:rPr>
        <w:t xml:space="preserve">md-mq/philo2vec/data/data.zip</w:t>
      </w:r>
      <w:r>
        <w:t xml:space="preserve">. Its current commit is</w:t>
      </w:r>
      <w:r>
        <w:t xml:space="preserve"> </w:t>
      </w:r>
      <w:r>
        <w:rPr>
          <w:rStyle w:val="VerbatimChar"/>
        </w:rPr>
        <w:t xml:space="preserve">0d2351d43723f0d4a1fa662557626adb31a822ad</w:t>
      </w:r>
      <w:r>
        <w:t xml:space="preserve">, dated 12 August 2016. The archive omits author headers, bibliographies, notes, and individual revision dates. It supports consultation of an older specialist account; it does not establish current SEP wording or complete scholarship coverage.</w:t>
      </w:r>
    </w:p>
    <w:p>
      <w:pPr>
        <w:pStyle w:val="Compact"/>
        <w:numPr>
          <w:ilvl w:val="0"/>
          <w:numId w:val="1009"/>
        </w:numPr>
      </w:pPr>
      <w:r>
        <w:rPr>
          <w:b/>
          <w:bCs/>
        </w:rPr>
        <w:t xml:space="preserve">Consulted:</w:t>
      </w:r>
      <w:r>
        <w:t xml:space="preserve"> </w:t>
      </w:r>
      <w:r>
        <w:t xml:space="preserve">SEP article bodies</w:t>
      </w:r>
      <w:r>
        <w:t xml:space="preserve"> </w:t>
      </w:r>
      <w:r>
        <w:t xml:space="preserve">“</w:t>
      </w:r>
      <w:r>
        <w:t xml:space="preserve">Anselm,</w:t>
      </w:r>
      <w:r>
        <w:t xml:space="preserve">”</w:t>
      </w:r>
      <w:r>
        <w:t xml:space="preserve"> </w:t>
      </w:r>
      <w:r>
        <w:t xml:space="preserve">“</w:t>
      </w:r>
      <w:r>
        <w:t xml:space="preserve">Bonaventure,</w:t>
      </w:r>
      <w:r>
        <w:t xml:space="preserve">”</w:t>
      </w:r>
      <w:r>
        <w:t xml:space="preserve"> </w:t>
      </w:r>
      <w:r>
        <w:t xml:space="preserve">and</w:t>
      </w:r>
      <w:r>
        <w:t xml:space="preserve"> </w:t>
      </w:r>
      <w:r>
        <w:t xml:space="preserve">“</w:t>
      </w:r>
      <w:r>
        <w:t xml:space="preserve">Henry of Ghent,</w:t>
      </w:r>
      <w:r>
        <w:t xml:space="preserve">”</w:t>
      </w:r>
      <w:r>
        <w:t xml:space="preserve"> </w:t>
      </w:r>
      <w:r>
        <w:t xml:space="preserve">through the</w:t>
      </w:r>
      <w:r>
        <w:t xml:space="preserve"> </w:t>
      </w:r>
      <w:hyperlink r:id="rId132">
        <w:r>
          <w:rPr>
            <w:rStyle w:val="Hyperlink"/>
          </w:rPr>
          <w:t xml:space="preserve">archived corpus</w:t>
        </w:r>
      </w:hyperlink>
      <w:r>
        <w:t xml:space="preserve">. Readable extracts are</w:t>
      </w:r>
      <w:r>
        <w:t xml:space="preserve"> </w:t>
      </w:r>
      <w:r>
        <w:rPr>
          <w:rStyle w:val="VerbatimChar"/>
        </w:rPr>
        <w:t xml:space="preserve">/tmp/latin-sources/mirror-anselm.txt</w:t>
      </w:r>
      <w:r>
        <w:t xml:space="preserve">,</w:t>
      </w:r>
      <w:r>
        <w:t xml:space="preserve"> </w:t>
      </w:r>
      <w:r>
        <w:rPr>
          <w:rStyle w:val="VerbatimChar"/>
        </w:rPr>
        <w:t xml:space="preserve">mirror-bonaventure.txt</w:t>
      </w:r>
      <w:r>
        <w:t xml:space="preserve">, and</w:t>
      </w:r>
      <w:r>
        <w:t xml:space="preserve"> </w:t>
      </w:r>
      <w:r>
        <w:rPr>
          <w:rStyle w:val="VerbatimChar"/>
        </w:rPr>
        <w:t xml:space="preserve">mirror-henry-ghent.txt</w:t>
      </w:r>
      <w:r>
        <w:t xml:space="preserve">.</w:t>
      </w:r>
    </w:p>
    <w:p>
      <w:pPr>
        <w:pStyle w:val="Compact"/>
        <w:numPr>
          <w:ilvl w:val="0"/>
          <w:numId w:val="1009"/>
        </w:numPr>
      </w:pPr>
      <w:r>
        <w:rPr>
          <w:b/>
          <w:bCs/>
        </w:rPr>
        <w:t xml:space="preserve">Consulted with qualification:</w:t>
      </w:r>
      <w:r>
        <w:t xml:space="preserve"> </w:t>
      </w:r>
      <w:r>
        <w:t xml:space="preserve">Anselm’s Latin</w:t>
      </w:r>
      <w:r>
        <w:t xml:space="preserve"> </w:t>
      </w:r>
      <w:r>
        <w:rPr>
          <w:i/>
          <w:iCs/>
        </w:rPr>
        <w:t xml:space="preserve">Monologion</w:t>
      </w:r>
      <w:r>
        <w:t xml:space="preserve">, chapters 6–8, 11–13, 16–17, 22–27, and 30–36, through a</w:t>
      </w:r>
      <w:r>
        <w:t xml:space="preserve"> </w:t>
      </w:r>
      <w:hyperlink r:id="rId124">
        <w:r>
          <w:rPr>
            <w:rStyle w:val="Hyperlink"/>
          </w:rPr>
          <w:t xml:space="preserve">public-domain OCR witness</w:t>
        </w:r>
      </w:hyperlink>
      <w:r>
        <w:t xml:space="preserve">. OCR is imperfect; no critical apparatus was consulted. The chapter headings and relevant passages can be checked in the numbered text files. The source should not be described as a modern critical edition.</w:t>
      </w:r>
    </w:p>
    <w:p>
      <w:pPr>
        <w:pStyle w:val="Compact"/>
        <w:numPr>
          <w:ilvl w:val="0"/>
          <w:numId w:val="1009"/>
        </w:numPr>
      </w:pPr>
      <w:r>
        <w:rPr>
          <w:b/>
          <w:bCs/>
        </w:rPr>
        <w:t xml:space="preserve">Comparison witness only:</w:t>
      </w:r>
      <w:r>
        <w:t xml:space="preserve"> </w:t>
      </w:r>
      <w:r>
        <w:t xml:space="preserve">Bonaventure’s</w:t>
      </w:r>
      <w:r>
        <w:t xml:space="preserve"> </w:t>
      </w:r>
      <w:r>
        <w:rPr>
          <w:i/>
          <w:iCs/>
        </w:rPr>
        <w:t xml:space="preserve">Itinerarium</w:t>
      </w:r>
      <w:r>
        <w:t xml:space="preserve"> </w:t>
      </w:r>
      <w:r>
        <w:t xml:space="preserve">in an</w:t>
      </w:r>
      <w:r>
        <w:t xml:space="preserve"> </w:t>
      </w:r>
      <w:hyperlink r:id="rId210">
        <w:r>
          <w:rPr>
            <w:rStyle w:val="Hyperlink"/>
          </w:rPr>
          <w:t xml:space="preserve">uncredited Spanish transcription</w:t>
        </w:r>
      </w:hyperlink>
      <w:r>
        <w:t xml:space="preserve">. Section numbers and argumentative context were inspected; provenance is insufficient for an authoritative English quotation.</w:t>
      </w:r>
    </w:p>
    <w:p>
      <w:pPr>
        <w:pStyle w:val="Compact"/>
        <w:numPr>
          <w:ilvl w:val="0"/>
          <w:numId w:val="1009"/>
        </w:numPr>
      </w:pPr>
      <w:r>
        <w:rPr>
          <w:b/>
          <w:bCs/>
        </w:rPr>
        <w:t xml:space="preserve">Not directly consulted:</w:t>
      </w:r>
      <w:r>
        <w:t xml:space="preserve"> </w:t>
      </w:r>
      <w:r>
        <w:t xml:space="preserve">Henry’s complete Latin</w:t>
      </w:r>
      <w:r>
        <w:t xml:space="preserve"> </w:t>
      </w:r>
      <w:r>
        <w:rPr>
          <w:i/>
          <w:iCs/>
        </w:rPr>
        <w:t xml:space="preserve">Summa</w:t>
      </w:r>
      <w:r>
        <w:t xml:space="preserve"> </w:t>
      </w:r>
      <w:r>
        <w:t xml:space="preserve">and</w:t>
      </w:r>
      <w:r>
        <w:t xml:space="preserve"> </w:t>
      </w:r>
      <w:r>
        <w:rPr>
          <w:i/>
          <w:iCs/>
        </w:rPr>
        <w:t xml:space="preserve">Quodlibeta</w:t>
      </w:r>
      <w:r>
        <w:t xml:space="preserve">, Bonaventure’s critical</w:t>
      </w:r>
      <w:r>
        <w:t xml:space="preserve"> </w:t>
      </w:r>
      <w:r>
        <w:rPr>
          <w:i/>
          <w:iCs/>
        </w:rPr>
        <w:t xml:space="preserve">Opera omnia</w:t>
      </w:r>
      <w:r>
        <w:t xml:space="preserve">, and the specialist works mentioned inside the SEP account. Their loci below are reported as specialist-supplied leads, not independently collated citations.</w:t>
      </w:r>
    </w:p>
    <w:bookmarkEnd w:id="211"/>
    <w:bookmarkStart w:id="212" w:name="X404b5df8f3bae46d3e43c221d78e04484789ce9"/>
    <w:p>
      <w:pPr>
        <w:pStyle w:val="Heading3"/>
      </w:pPr>
      <w:r>
        <w:t xml:space="preserve">Anselm: a notably useful non-Thomist witness</w:t>
      </w:r>
    </w:p>
    <w:p>
      <w:pPr>
        <w:pStyle w:val="FirstParagraph"/>
      </w:pPr>
      <w:r>
        <w:rPr>
          <w:b/>
          <w:bCs/>
        </w:rPr>
        <w:t xml:space="preserve">Explicit:</w:t>
      </w:r>
      <w:r>
        <w:t xml:space="preserve"> </w:t>
      </w:r>
      <w:r>
        <w:rPr>
          <w:i/>
          <w:iCs/>
        </w:rPr>
        <w:t xml:space="preserve">Monologion</w:t>
      </w:r>
      <w:r>
        <w:t xml:space="preserve"> </w:t>
      </w:r>
      <w:r>
        <w:t xml:space="preserve">6 distinguishes existing through oneself from causing oneself: an agent cannot bring itself into being because it would have to precede itself. The light/shining analogy treats</w:t>
      </w:r>
      <w:r>
        <w:t xml:space="preserve"> </w:t>
      </w:r>
      <w:r>
        <w:rPr>
          <w:i/>
          <w:iCs/>
        </w:rPr>
        <w:t xml:space="preserve">per se</w:t>
      </w:r>
      <w:r>
        <w:t xml:space="preserve"> </w:t>
      </w:r>
      <w:r>
        <w:t xml:space="preserve">as non-derived actuality, not self-production. Chapters 7–8 distinguish efficient origin from material derivation. The supreme nature makes creatures without using divine substance as material;</w:t>
      </w:r>
      <w:r>
        <w:t xml:space="preserve"> </w:t>
      </w:r>
      <w:r>
        <w:t xml:space="preserve">“</w:t>
      </w:r>
      <w:r>
        <w:t xml:space="preserve">nothing</w:t>
      </w:r>
      <w:r>
        <w:t xml:space="preserve">”</w:t>
      </w:r>
      <w:r>
        <w:t xml:space="preserve"> </w:t>
      </w:r>
      <w:r>
        <w:t xml:space="preserve">is not a second stuff from which creatures are assembled.</w:t>
      </w:r>
    </w:p>
    <w:p>
      <w:pPr>
        <w:pStyle w:val="BodyText"/>
      </w:pPr>
      <w:r>
        <w:rPr>
          <w:b/>
          <w:bCs/>
        </w:rPr>
        <w:t xml:space="preserve">Reconstruction:</w:t>
      </w:r>
      <w:r>
        <w:t xml:space="preserve"> </w:t>
      </w:r>
      <w:r>
        <w:t xml:space="preserve">Non-reception can be defined negatively from dependence, but sourcehood is not self-causation. A relation</w:t>
      </w:r>
      <w:r>
        <w:t xml:space="preserve"> </w:t>
      </w:r>
      <w:r>
        <w:t xml:space="preserve">“</w:t>
      </w:r>
      <w:r>
        <w:t xml:space="preserve">from God</w:t>
      </w:r>
      <w:r>
        <w:t xml:space="preserve">”</w:t>
      </w:r>
      <w:r>
        <w:t xml:space="preserve"> </w:t>
      </w:r>
      <w:r>
        <w:t xml:space="preserve">must not silently mean</w:t>
      </w:r>
      <w:r>
        <w:t xml:space="preserve"> </w:t>
      </w:r>
      <w:r>
        <w:t xml:space="preserve">“</w:t>
      </w:r>
      <w:r>
        <w:t xml:space="preserve">made out of God.</w:t>
      </w:r>
      <w:r>
        <w:t xml:space="preserve">”</w:t>
      </w:r>
      <w:r>
        <w:t xml:space="preserve"> </w:t>
      </w:r>
      <w:r>
        <w:t xml:space="preserve">This supports separate dependence and constitution vocabulary. Chapter 7’s argument assumes that a lesser entity’s production out of divine material would entail alteration or corruption of the highest good. That assumption belongs in an argumentative premise; it is not supplied by the preposition</w:t>
      </w:r>
      <w:r>
        <w:t xml:space="preserve"> </w:t>
      </w:r>
      <w:r>
        <w:t xml:space="preserve">“</w:t>
      </w:r>
      <w:r>
        <w:t xml:space="preserve">from.</w:t>
      </w:r>
      <w:r>
        <w:t xml:space="preserve">”</w:t>
      </w:r>
    </w:p>
    <w:p>
      <w:pPr>
        <w:pStyle w:val="BodyText"/>
      </w:pPr>
      <w:r>
        <w:rPr>
          <w:b/>
          <w:bCs/>
        </w:rPr>
        <w:t xml:space="preserve">Explicit:</w:t>
      </w:r>
      <w:r>
        <w:t xml:space="preserve"> </w:t>
      </w:r>
      <w:r>
        <w:t xml:space="preserve">Chapter 13 adds preservation to production: the same source sustains things for as long as they exist. Chapters 22–23 describe a presence to things that does not involve the source’s enclosure in places. Chapter 23 accordingly prefers</w:t>
      </w:r>
      <w:r>
        <w:t xml:space="preserve"> </w:t>
      </w:r>
      <w:r>
        <w:t xml:space="preserve">“</w:t>
      </w:r>
      <w:r>
        <w:t xml:space="preserve">everywhere,</w:t>
      </w:r>
      <w:r>
        <w:t xml:space="preserve">”</w:t>
      </w:r>
      <w:r>
        <w:t xml:space="preserve"> </w:t>
      </w:r>
      <w:r>
        <w:t xml:space="preserve">meaning present to everything, to a purely spatial account.</w:t>
      </w:r>
    </w:p>
    <w:p>
      <w:pPr>
        <w:pStyle w:val="BodyText"/>
      </w:pPr>
      <w:r>
        <w:rPr>
          <w:b/>
          <w:bCs/>
        </w:rPr>
        <w:t xml:space="preserve">Proposal:</w:t>
      </w:r>
      <w:r>
        <w:t xml:space="preserve"> </w:t>
      </w:r>
      <w:r>
        <w:t xml:space="preserve">Define causal intimacy by present sustaining dependence, then identify divine presence with that causal operation under an additional theological interpretation. No physical distance relation is needed. Preservation excludes a deistic model in which origin suffices without present dependence; it does not by itself prove that every creaturely action lacks secondary causes.</w:t>
      </w:r>
    </w:p>
    <w:p>
      <w:pPr>
        <w:pStyle w:val="BodyText"/>
      </w:pPr>
      <w:r>
        <w:rPr>
          <w:b/>
          <w:bCs/>
        </w:rPr>
        <w:t xml:space="preserve">Explicit:</w:t>
      </w:r>
      <w:r>
        <w:t xml:space="preserve"> </w:t>
      </w:r>
      <w:r>
        <w:t xml:space="preserve">Chapter 16 distinguishes a just person, who has justice, from the supreme nature, which is justice. Chapter 17 argues that a composite depends on what composes it. Hence a supreme, non-dependent nature cannot be composed of several goods, although it is named life, reason, justice, and goodness.</w:t>
      </w:r>
    </w:p>
    <w:p>
      <w:pPr>
        <w:pStyle w:val="BodyText"/>
      </w:pPr>
      <w:r>
        <w:rPr>
          <w:b/>
          <w:bCs/>
        </w:rPr>
        <w:t xml:space="preserve">Reconstruction:</w:t>
      </w:r>
      <w:r>
        <w:t xml:space="preserve"> </w:t>
      </w:r>
      <w:r>
        <w:t xml:space="preserve">This is a real argument for non-receptive perfection, not merely a definition of divine justice. Its generative step is</w:t>
      </w:r>
      <w:r>
        <w:t xml:space="preserve"> </w:t>
      </w:r>
      <w:r>
        <w:rPr>
          <w:b/>
          <w:bCs/>
        </w:rPr>
        <w:t xml:space="preserve">constitutive composition entails dependence on constituents</w:t>
      </w:r>
      <w:r>
        <w:t xml:space="preserve">. An underived cause need not be simple in a formal model unless that dependence principle is included. The axiom</w:t>
      </w:r>
      <w:r>
        <w:t xml:space="preserve"> </w:t>
      </w:r>
      <w:r>
        <w:t xml:space="preserve">“</w:t>
      </w:r>
      <w:r>
        <w:t xml:space="preserve">ultimate causes are simple</w:t>
      </w:r>
      <w:r>
        <w:t xml:space="preserve">”</w:t>
      </w:r>
      <w:r>
        <w:t xml:space="preserve"> </w:t>
      </w:r>
      <w:r>
        <w:t xml:space="preserve">would hide this work if introduced without explanation.</w:t>
      </w:r>
    </w:p>
    <w:p>
      <w:pPr>
        <w:pStyle w:val="BodyText"/>
      </w:pPr>
      <w:r>
        <w:rPr>
          <w:b/>
          <w:bCs/>
        </w:rPr>
        <w:t xml:space="preserve">Explicit:</w:t>
      </w:r>
      <w:r>
        <w:t xml:space="preserve"> </w:t>
      </w:r>
      <w:r>
        <w:t xml:space="preserve">Chapter 25 considers a man who acquires comparative relations to a newly born child without changing himself as the child appears or grows. Relational predicates need not be acquired mutable accidents. Chapters 26–27 deny that the supreme nature shares a common substantial essence with creatures: it is neither a universal divided into individuals nor one individual within a shared substantial kind.</w:t>
      </w:r>
    </w:p>
    <w:p>
      <w:pPr>
        <w:pStyle w:val="BodyText"/>
      </w:pPr>
      <w:r>
        <w:rPr>
          <w:b/>
          <w:bCs/>
        </w:rPr>
        <w:t xml:space="preserve">Proposal:</w:t>
      </w:r>
      <w:r>
        <w:t xml:space="preserve"> </w:t>
      </w:r>
      <w:r>
        <w:t xml:space="preserve">Chapter 25 anticipates a distinction between intrinsic constitution and object-relative predication; it should not be retroactively called Aquinas’s complete theory of mixed relations. Chapters 26–27 support exclusion from a common substantial genus, but do not alone establish every modern claim about univocal concepts. A shared predicate and a shared substantial kind are different issues.</w:t>
      </w:r>
    </w:p>
    <w:p>
      <w:pPr>
        <w:pStyle w:val="BodyText"/>
      </w:pPr>
      <w:r>
        <w:rPr>
          <w:b/>
          <w:bCs/>
        </w:rPr>
        <w:t xml:space="preserve">Explicit:</w:t>
      </w:r>
      <w:r>
        <w:t xml:space="preserve"> </w:t>
      </w:r>
      <w:r>
        <w:t xml:space="preserve">Chapters 30–35 hold that one simple Word expresses the diverse created realities. Chapter 31 locates the normative direction of likeness in the effect: creation imitates the Word; the Word does not become more accurate by matching mutable effects. Chapter 34 distinguishes creatures’ mutable being in themselves from their presence in the supreme reason, where they are not present under their created mode.</w:t>
      </w:r>
    </w:p>
    <w:p>
      <w:pPr>
        <w:pStyle w:val="BodyText"/>
      </w:pPr>
      <w:r>
        <w:rPr>
          <w:b/>
          <w:bCs/>
        </w:rPr>
        <w:t xml:space="preserve">Reconstruction:</w:t>
      </w:r>
      <w:r>
        <w:t xml:space="preserve"> </w:t>
      </w:r>
      <w:r>
        <w:t xml:space="preserve">This is especially good evidence for</w:t>
      </w:r>
      <w:r>
        <w:t xml:space="preserve"> </w:t>
      </w:r>
      <w:r>
        <w:t xml:space="preserve">“</w:t>
      </w:r>
      <w:r>
        <w:t xml:space="preserve">effect mode is not transferred to source</w:t>
      </w:r>
      <w:r>
        <w:t xml:space="preserve">”</w:t>
      </w:r>
      <w:r>
        <w:t xml:space="preserve"> </w:t>
      </w:r>
      <w:r>
        <w:t xml:space="preserve">and for</w:t>
      </w:r>
      <w:r>
        <w:t xml:space="preserve"> </w:t>
      </w:r>
      <w:r>
        <w:t xml:space="preserve">“</w:t>
      </w:r>
      <w:r>
        <w:t xml:space="preserve">many expressions do not automatically entail many intrinsic parts.</w:t>
      </w:r>
      <w:r>
        <w:t xml:space="preserve">”</w:t>
      </w:r>
      <w:r>
        <w:t xml:space="preserve"> </w:t>
      </w:r>
      <w:r>
        <w:t xml:space="preserve">It does not mean an actual stone is numerically identical with God. Causal/exemplary precontainment and actual created existence must remain distinct.</w:t>
      </w:r>
    </w:p>
    <w:bookmarkEnd w:id="212"/>
    <w:bookmarkStart w:id="213" w:name="Xb6229544288c88ffce84404ce7590f5c9afcd62"/>
    <w:p>
      <w:pPr>
        <w:pStyle w:val="Heading3"/>
      </w:pPr>
      <w:r>
        <w:t xml:space="preserve">Bonaventure: exemplarity and real creaturely agency</w:t>
      </w:r>
    </w:p>
    <w:p>
      <w:pPr>
        <w:pStyle w:val="FirstParagraph"/>
      </w:pPr>
      <w:r>
        <w:rPr>
          <w:b/>
          <w:bCs/>
        </w:rPr>
        <w:t xml:space="preserve">Explicit, through the consulted SEP account:</w:t>
      </w:r>
      <w:r>
        <w:t xml:space="preserve"> </w:t>
      </w:r>
      <w:r>
        <w:t xml:space="preserve">All creatures have causal dependence upon God and signify their source. Its fourfold terminology distinguishes shadow and vestige from image and likeness: intellectual nature and grace introduce different kinds of expression. The</w:t>
      </w:r>
      <w:r>
        <w:t xml:space="preserve"> </w:t>
      </w:r>
      <w:r>
        <w:rPr>
          <w:i/>
          <w:iCs/>
        </w:rPr>
        <w:t xml:space="preserve">Collations on the Hexameron</w:t>
      </w:r>
      <w:r>
        <w:t xml:space="preserve"> </w:t>
      </w:r>
      <w:r>
        <w:t xml:space="preserve">make exemplar causality central to metaphysics alongside efficient and final causality. The mirror’s note numbers have lost their underlying references, so no falsely precise</w:t>
      </w:r>
      <w:r>
        <w:t xml:space="preserve"> </w:t>
      </w:r>
      <w:r>
        <w:rPr>
          <w:i/>
          <w:iCs/>
        </w:rPr>
        <w:t xml:space="preserve">Collation</w:t>
      </w:r>
      <w:r>
        <w:t xml:space="preserve"> </w:t>
      </w:r>
      <w:r>
        <w:t xml:space="preserve">subsection is supplied here.</w:t>
      </w:r>
    </w:p>
    <w:p>
      <w:pPr>
        <w:pStyle w:val="BodyText"/>
      </w:pPr>
      <w:r>
        <w:rPr>
          <w:b/>
          <w:bCs/>
        </w:rPr>
        <w:t xml:space="preserve">Reconstruction:</w:t>
      </w:r>
      <w:r>
        <w:t xml:space="preserve"> </w:t>
      </w:r>
      <w:r>
        <w:t xml:space="preserve">The passage from dependence to manifestation is not logically free. Bonaventure supplies exemplary causality as the bridge. A formal model can satisfy asymmetrical dependence while interpreting likeness as an empty relation; dependence alone therefore cannot prove positive likeness. The constructive theory must restrict its likeness bridge to positive perfections and an adequate source, and acknowledge this as an independent commitment.</w:t>
      </w:r>
    </w:p>
    <w:p>
      <w:pPr>
        <w:pStyle w:val="BodyText"/>
      </w:pPr>
      <w:r>
        <w:t xml:space="preserve">The mirrored article explains participation in terms of a possessed attribute and an exemplar in which that attribute exists essentially. For its own metaphysical proof this account additionally appeals to the difference between categorical and transcendental attributes.</w:t>
      </w:r>
      <w:r>
        <w:t xml:space="preserve"> </w:t>
      </w:r>
      <w:r>
        <w:rPr>
          <w:b/>
          <w:bCs/>
        </w:rPr>
        <w:t xml:space="preserve">Proposal:</w:t>
      </w:r>
      <w:r>
        <w:t xml:space="preserve"> </w:t>
      </w:r>
      <w:r>
        <w:t xml:space="preserve">Retain causal adequacy and non-receptive possession while refusing to infer that every finite categorical feature is literally predicated of God.</w:t>
      </w:r>
      <w:r>
        <w:t xml:space="preserve"> </w:t>
      </w:r>
      <w:r>
        <w:t xml:space="preserve">“</w:t>
      </w:r>
      <w:r>
        <w:t xml:space="preserve">God causes horses</w:t>
      </w:r>
      <w:r>
        <w:t xml:space="preserve">”</w:t>
      </w:r>
      <w:r>
        <w:t xml:space="preserve"> </w:t>
      </w:r>
      <w:r>
        <w:t xml:space="preserve">does not yield</w:t>
      </w:r>
      <w:r>
        <w:t xml:space="preserve"> </w:t>
      </w:r>
      <w:r>
        <w:t xml:space="preserve">“</w:t>
      </w:r>
      <w:r>
        <w:t xml:space="preserve">God is a horse.</w:t>
      </w:r>
      <w:r>
        <w:t xml:space="preserve">”</w:t>
      </w:r>
    </w:p>
    <w:p>
      <w:pPr>
        <w:pStyle w:val="BodyText"/>
      </w:pPr>
      <w:r>
        <w:rPr>
          <w:b/>
          <w:bCs/>
        </w:rPr>
        <w:t xml:space="preserve">Explicit in the comparison witness:</w:t>
      </w:r>
      <w:r>
        <w:t xml:space="preserve"> </w:t>
      </w:r>
      <w:r>
        <w:rPr>
          <w:i/>
          <w:iCs/>
        </w:rPr>
        <w:t xml:space="preserve">Itinerarium</w:t>
      </w:r>
      <w:r>
        <w:t xml:space="preserve"> </w:t>
      </w:r>
      <w:r>
        <w:t xml:space="preserve">I.2 supplies the external vestige/internal image/above-the-self sequence; II.1 speaks of presence by essence, power, and presence. VI.2 locates maximal diffusion of goodness in eternal consubstantial Trinitarian production and contrasts temporal created diffusion with that fullness.</w:t>
      </w:r>
    </w:p>
    <w:p>
      <w:pPr>
        <w:pStyle w:val="BodyText"/>
      </w:pPr>
      <w:r>
        <w:rPr>
          <w:b/>
          <w:bCs/>
        </w:rPr>
        <w:t xml:space="preserve">Reconstruction and limit:</w:t>
      </w:r>
      <w:r>
        <w:t xml:space="preserve"> </w:t>
      </w:r>
      <w:r>
        <w:rPr>
          <w:i/>
          <w:iCs/>
        </w:rPr>
        <w:t xml:space="preserve">Bonum diffusivum sui</w:t>
      </w:r>
      <w:r>
        <w:t xml:space="preserve"> </w:t>
      </w:r>
      <w:r>
        <w:t xml:space="preserve">cannot simply be inserted as</w:t>
      </w:r>
      <w:r>
        <w:t xml:space="preserve"> </w:t>
      </w:r>
      <w:r>
        <w:t xml:space="preserve">“</w:t>
      </w:r>
      <w:r>
        <w:t xml:space="preserve">perfect goodness necessarily creates.</w:t>
      </w:r>
      <w:r>
        <w:t xml:space="preserve">”</w:t>
      </w:r>
      <w:r>
        <w:t xml:space="preserve"> </w:t>
      </w:r>
      <w:r>
        <w:t xml:space="preserve">The relevant text’s strongest diffusion concerns Father, Son, and Spirit. Whether its Trinitarian demonstration succeeds is a separate theological-philosophical problem; its ad intra communication must not be conflated with created ad extra communication. This passage supplies neither an independent proof of contingent creation nor a warrant for necessary emanation of this world.</w:t>
      </w:r>
    </w:p>
    <w:p>
      <w:pPr>
        <w:pStyle w:val="BodyText"/>
      </w:pPr>
      <w:r>
        <w:t xml:space="preserve">The consulted specialist account also describes illumination as involving both divine and created causes. It distinguishes the certainty associated with illumination from the abstraction and content supplied through creaturely faculties.</w:t>
      </w:r>
      <w:r>
        <w:t xml:space="preserve"> </w:t>
      </w:r>
      <w:r>
        <w:rPr>
          <w:b/>
          <w:bCs/>
        </w:rPr>
        <w:t xml:space="preserve">Proposal:</w:t>
      </w:r>
      <w:r>
        <w:t xml:space="preserve"> </w:t>
      </w:r>
      <w:r>
        <w:t xml:space="preserve">This is evidence against occasionalism and against replacing created perfections with an immediately divine operation. Epistemic illumination is still not a substitute for an argument about the ontological truthmakers of created goodness.</w:t>
      </w:r>
    </w:p>
    <w:p>
      <w:pPr>
        <w:pStyle w:val="BodyText"/>
      </w:pPr>
      <w:r>
        <w:rPr>
          <w:b/>
          <w:bCs/>
        </w:rPr>
        <w:t xml:space="preserve">Unverified primary leads:</w:t>
      </w:r>
      <w:r>
        <w:t xml:space="preserve"> </w:t>
      </w:r>
      <w:r>
        <w:rPr>
          <w:i/>
          <w:iCs/>
        </w:rPr>
        <w:t xml:space="preserve">Commentary on the Sentences</w:t>
      </w:r>
      <w:r>
        <w:t xml:space="preserve"> </w:t>
      </w:r>
      <w:r>
        <w:t xml:space="preserve">I, distinction 35, on divine knowledge/ideas, and</w:t>
      </w:r>
      <w:r>
        <w:t xml:space="preserve"> </w:t>
      </w:r>
      <w:r>
        <w:rPr>
          <w:i/>
          <w:iCs/>
        </w:rPr>
        <w:t xml:space="preserve">De scientia Christi</w:t>
      </w:r>
      <w:r>
        <w:t xml:space="preserve"> </w:t>
      </w:r>
      <w:r>
        <w:t xml:space="preserve">q.4, on eternal reason with created cognition, merit subsequent collation. The present dossier does not assign an unverified article/subquestion to the claim about multiple exemplars concerning creatures.</w:t>
      </w:r>
    </w:p>
    <w:bookmarkEnd w:id="213"/>
    <w:bookmarkStart w:id="214" w:name="Xd8f669554848857fa5ef9f25770c99a25561d75"/>
    <w:p>
      <w:pPr>
        <w:pStyle w:val="Heading3"/>
      </w:pPr>
      <w:r>
        <w:t xml:space="preserve">Henry of Ghent: possibility does not actualize itself</w:t>
      </w:r>
    </w:p>
    <w:p>
      <w:pPr>
        <w:pStyle w:val="FirstParagraph"/>
      </w:pPr>
      <w:r>
        <w:rPr>
          <w:b/>
          <w:bCs/>
        </w:rPr>
        <w:t xml:space="preserve">Explicit in the consulted SEP reconstruction:</w:t>
      </w:r>
      <w:r>
        <w:t xml:space="preserve"> </w:t>
      </w:r>
      <w:r>
        <w:t xml:space="preserve">Henry distinguishes</w:t>
      </w:r>
      <w:r>
        <w:t xml:space="preserve"> </w:t>
      </w:r>
      <w:r>
        <w:rPr>
          <w:i/>
          <w:iCs/>
        </w:rPr>
        <w:t xml:space="preserve">esse essentiae</w:t>
      </w:r>
      <w:r>
        <w:t xml:space="preserve"> </w:t>
      </w:r>
      <w:r>
        <w:t xml:space="preserve">from</w:t>
      </w:r>
      <w:r>
        <w:t xml:space="preserve"> </w:t>
      </w:r>
      <w:r>
        <w:rPr>
          <w:i/>
          <w:iCs/>
        </w:rPr>
        <w:t xml:space="preserve">esse existentiae</w:t>
      </w:r>
      <w:r>
        <w:t xml:space="preserve">. The former marks objective intelligibility/possibility, rather than a separately existing object, on the interpretation used by the article. The latter marks actual created existence. Essences depend on divine intellect as exemplary/formal cause; actualization depends on divine will as efficient cause. The article supplies</w:t>
      </w:r>
      <w:r>
        <w:t xml:space="preserve"> </w:t>
      </w:r>
      <w:r>
        <w:rPr>
          <w:i/>
          <w:iCs/>
        </w:rPr>
        <w:t xml:space="preserve">Summa</w:t>
      </w:r>
      <w:r>
        <w:t xml:space="preserve"> </w:t>
      </w:r>
      <w:r>
        <w:t xml:space="preserve">art.21 q.4 and art.24 q.3,</w:t>
      </w:r>
      <w:r>
        <w:t xml:space="preserve"> </w:t>
      </w:r>
      <w:r>
        <w:rPr>
          <w:i/>
          <w:iCs/>
        </w:rPr>
        <w:t xml:space="preserve">Quodlibet</w:t>
      </w:r>
      <w:r>
        <w:t xml:space="preserve"> </w:t>
      </w:r>
      <w:r>
        <w:t xml:space="preserve">IX q.2, X qq.7–8, and VIII qq.1–2 as important loci.</w:t>
      </w:r>
    </w:p>
    <w:p>
      <w:pPr>
        <w:pStyle w:val="BodyText"/>
      </w:pPr>
      <w:r>
        <w:t xml:space="preserve">The article expressly rejects an</w:t>
      </w:r>
      <w:r>
        <w:t xml:space="preserve"> </w:t>
      </w:r>
      <w:r>
        <w:t xml:space="preserve">“</w:t>
      </w:r>
      <w:r>
        <w:t xml:space="preserve">ultra-essentialist</w:t>
      </w:r>
      <w:r>
        <w:t xml:space="preserve">”</w:t>
      </w:r>
      <w:r>
        <w:t xml:space="preserve"> </w:t>
      </w:r>
      <w:r>
        <w:t xml:space="preserve">reading, originating with Suárez, that treats essential being as a separate being. It nevertheless notes real interpretive and developmental difficulty: Henry’s intentional distinction evolves, and his later account identifies essential being as prior to its quidditative determinations. A bare assertion that Henry straightforwardly agrees with a contemporary modal semantics would be inaccurate.</w:t>
      </w:r>
    </w:p>
    <w:p>
      <w:pPr>
        <w:pStyle w:val="BodyText"/>
      </w:pPr>
      <w:r>
        <w:rPr>
          <w:b/>
          <w:bCs/>
        </w:rPr>
        <w:t xml:space="preserve">Reconstruction:</w:t>
      </w:r>
      <w:r>
        <w:t xml:space="preserve"> </w:t>
      </w:r>
      <w:r>
        <w:t xml:space="preserve">The strongest reusable distinction is</w:t>
      </w:r>
      <w:r>
        <w:t xml:space="preserve"> </w:t>
      </w:r>
      <w:r>
        <w:rPr>
          <w:b/>
          <w:bCs/>
        </w:rPr>
        <w:t xml:space="preserve">what is intelligible does not thereby exist</w:t>
      </w:r>
      <w:r>
        <w:t xml:space="preserve">. God’s knowledge need not be passively informed by actual external creatures. Ideas concern ways divine essence is imitable; the exemplary object must be distinguished from the constituted essence and from its actual realization. This offers a resource for non-acquired knowledge and plurality without receptive cognition.</w:t>
      </w:r>
    </w:p>
    <w:p>
      <w:pPr>
        <w:pStyle w:val="BodyText"/>
      </w:pPr>
      <w:r>
        <w:rPr>
          <w:b/>
          <w:bCs/>
        </w:rPr>
        <w:t xml:space="preserve">Genuine incompatibility:</w:t>
      </w:r>
      <w:r>
        <w:t xml:space="preserve"> </w:t>
      </w:r>
      <w:r>
        <w:t xml:space="preserve">Henry’s hierarchy of possible essences is necessary, immutable, and closed on the account consulted; divine will freely selects actual individuals. His reservations about</w:t>
      </w:r>
      <w:r>
        <w:t xml:space="preserve"> </w:t>
      </w:r>
      <w:r>
        <w:rPr>
          <w:i/>
          <w:iCs/>
        </w:rPr>
        <w:t xml:space="preserve">potentia absoluta</w:t>
      </w:r>
      <w:r>
        <w:t xml:space="preserve"> </w:t>
      </w:r>
      <w:r>
        <w:t xml:space="preserve">and this fixed essential hierarchy cannot be harmonized away with a Scotist account of contingency. Retrieve the distinction between intelligibility and actualization without presenting Henry’s whole modal theory as common classical grammar.</w:t>
      </w:r>
    </w:p>
    <w:p>
      <w:pPr>
        <w:pStyle w:val="BodyText"/>
      </w:pPr>
      <w:r>
        <w:t xml:space="preserve">The article also states its disagreement with Pickavé over</w:t>
      </w:r>
      <w:r>
        <w:t xml:space="preserve"> </w:t>
      </w:r>
      <w:r>
        <w:rPr>
          <w:i/>
          <w:iCs/>
        </w:rPr>
        <w:t xml:space="preserve">Summa</w:t>
      </w:r>
      <w:r>
        <w:t xml:space="preserve"> </w:t>
      </w:r>
      <w:r>
        <w:t xml:space="preserve">art.21 qq.2–3: whether confusion of negatively indeterminate divine being with privatively indeterminate created being constitutes an error, and how this bears on the first analogous concept of being.</w:t>
      </w:r>
      <w:r>
        <w:t xml:space="preserve"> </w:t>
      </w:r>
      <w:r>
        <w:rPr>
          <w:b/>
          <w:bCs/>
        </w:rPr>
        <w:t xml:space="preserve">Limit:</w:t>
      </w:r>
      <w:r>
        <w:t xml:space="preserve"> </w:t>
      </w:r>
      <w:r>
        <w:t xml:space="preserve">“</w:t>
      </w:r>
      <w:r>
        <w:t xml:space="preserve">No common genus</w:t>
      </w:r>
      <w:r>
        <w:t xml:space="preserve">”</w:t>
      </w:r>
      <w:r>
        <w:t xml:space="preserve"> </w:t>
      </w:r>
      <w:r>
        <w:t xml:space="preserve">must not be inflated into universal agreement that no positive conceptual content can be predicated of God and creatures.</w:t>
      </w:r>
    </w:p>
    <w:bookmarkEnd w:id="214"/>
    <w:bookmarkStart w:id="217" w:name="consequences-for-a-minimal-basis"/>
    <w:p>
      <w:pPr>
        <w:pStyle w:val="Heading3"/>
      </w:pPr>
      <w:r>
        <w:t xml:space="preserve">Consequences for a minimal basis</w:t>
      </w:r>
    </w:p>
    <w:p>
      <w:pPr>
        <w:pStyle w:val="FirstParagraph"/>
      </w:pPr>
      <w:r>
        <w:t xml:space="preserve">These witnesses support five distinctions that cannot safely collapse: efficient origin versus material constitution; exemplary intelligibility versus actual existence; intrinsic actuality versus relational predication; positive likeness versus reproduction of a categorical mode; and created communication versus Trinitarian communication.</w:t>
      </w:r>
    </w:p>
    <w:p>
      <w:pPr>
        <w:pStyle w:val="BodyText"/>
      </w:pPr>
      <w:r>
        <w:t xml:space="preserve">The suggested basis</w:t>
      </w:r>
      <w:r>
        <w:t xml:space="preserve"> </w:t>
      </w:r>
      <w:r>
        <w:t xml:space="preserve">“</w:t>
      </w:r>
      <w:r>
        <w:t xml:space="preserve">actuality + received dependence + measure</w:t>
      </w:r>
      <w:r>
        <w:t xml:space="preserve">”</w:t>
      </w:r>
      <w:r>
        <w:t xml:space="preserve"> </w:t>
      </w:r>
      <w:r>
        <w:t xml:space="preserve">does not generate them without bridges. Anselm’s simplicity argument needs constitutive dependence; Bonaventure’s manifestation needs causal/exemplary adequacy; Henry’s contingency needs free will in addition to possibility. Non-exhaustion removes an argument that this finite effect completes God, but does not remove all possible arguments for necessary production. In a rival model, an infinitely adequate, unchanged, non-receptive source necessarily produces one finite effect: non-exhaustion holds while creation remains necessary.</w:t>
      </w:r>
    </w:p>
    <w:p>
      <w:pPr>
        <w:pStyle w:val="BodyText"/>
      </w:pPr>
      <w:r>
        <w:rPr>
          <w:b/>
          <w:bCs/>
        </w:rPr>
        <w:t xml:space="preserve">Constructive proposal:</w:t>
      </w:r>
      <w:r>
        <w:t xml:space="preserve"> </w:t>
      </w:r>
      <w:r>
        <w:t xml:space="preserve">Preserve these distinctions as constraints on a small modular theory. Test Anselmian dependence, Bonaventurian exemplarity, and Henrician modal distinction for compatibility at the level actually retrieved. Do not attribute the resulting semi-formal model to any of these authors, and do not count a bundle of logically separable bridges as one axiom merely because it has a historical label.</w:t>
      </w:r>
    </w:p>
    <w:p>
      <w:pPr>
        <w:pStyle w:val="BodyText"/>
      </w:pPr>
      <w:r>
        <w:t xml:space="preserve">Canonical publisher pages awaiting direct access:</w:t>
      </w:r>
      <w:r>
        <w:t xml:space="preserve"> </w:t>
      </w:r>
      <w:hyperlink r:id="rId215">
        <w:r>
          <w:rPr>
            <w:rStyle w:val="Hyperlink"/>
          </w:rPr>
          <w:t xml:space="preserve">Anselm</w:t>
        </w:r>
      </w:hyperlink>
      <w:r>
        <w:t xml:space="preserve">,</w:t>
      </w:r>
      <w:r>
        <w:t xml:space="preserve"> </w:t>
      </w:r>
      <w:hyperlink r:id="rId216">
        <w:r>
          <w:rPr>
            <w:rStyle w:val="Hyperlink"/>
          </w:rPr>
          <w:t xml:space="preserve">Bonaventure</w:t>
        </w:r>
      </w:hyperlink>
      <w:r>
        <w:t xml:space="preserve">,</w:t>
      </w:r>
      <w:r>
        <w:t xml:space="preserve"> </w:t>
      </w:r>
      <w:hyperlink r:id="rId138">
        <w:r>
          <w:rPr>
            <w:rStyle w:val="Hyperlink"/>
          </w:rPr>
          <w:t xml:space="preserve">Henry of Ghent</w:t>
        </w:r>
      </w:hyperlink>
      <w:r>
        <w:t xml:space="preserve">. Specialist names and author-year references found within the mirrored articles are leads for the next source-verification pass, not a bibliography of books read for this project.</w:t>
      </w:r>
    </w:p>
    <w:bookmarkEnd w:id="217"/>
    <w:bookmarkEnd w:id="218"/>
    <w:p>
      <w:pPr>
        <w:pStyle w:val="Heading1"/>
      </w:pPr>
      <w:r>
        <w:t xml:space="preserve">Appendix F — aquinas-scotus-newman.md</w:t>
      </w:r>
    </w:p>
    <w:p>
      <w:pPr>
        <w:pStyle w:val="FirstParagraph"/>
      </w:pPr>
      <w:r>
        <w:t xml:space="preserve">Original research file: https:/​/​participation-​6o4.​pages.​dev/​research/​aquinas-​scotus-​newman.​md</w:t>
      </w:r>
    </w:p>
    <w:bookmarkStart w:id="239" w:name="X089a85b6cc54477f43cf3fb9d4eeb854cb474cd"/>
    <w:p>
      <w:pPr>
        <w:pStyle w:val="Heading2"/>
      </w:pPr>
      <w:r>
        <w:t xml:space="preserve">Aquinas, Scotus, Przywara, Newman: disciplined resources and limits</w:t>
      </w:r>
    </w:p>
    <w:p>
      <w:pPr>
        <w:pStyle w:val="FirstParagraph"/>
      </w:pPr>
      <w:r>
        <w:t xml:space="preserve">Research status: primary Aquinas and Newman texts were downloaded over verified HTTPS and the passages below were inspected. An archived SEP Scotus article was subsequently recovered and inspected through a GitHub research corpus; its exact revision and stripped bibliographic metadata remain unknown. Scotus primary texts, Przywara, and specialist monographs are</w:t>
      </w:r>
      <w:r>
        <w:t xml:space="preserve"> </w:t>
      </w:r>
      <w:r>
        <w:rPr>
          <w:b/>
          <w:bCs/>
        </w:rPr>
        <w:t xml:space="preserve">bibliographic leads not directly consulted in this environment</w:t>
      </w:r>
      <w:r>
        <w:t xml:space="preserve">; do not turn those leads into source-verified quotations. Direct scholarly domains returned proxy HTTP 403. This distinction limits claims about exhaustive scholarship.</w:t>
      </w:r>
    </w:p>
    <w:p>
      <w:pPr>
        <w:pStyle w:val="BodyText"/>
      </w:pPr>
      <w:r>
        <w:rPr>
          <w:b/>
          <w:bCs/>
        </w:rPr>
        <w:t xml:space="preserve">Labels:</w:t>
      </w:r>
      <w:r>
        <w:t xml:space="preserve"> </w:t>
      </w:r>
      <w:r>
        <w:rPr>
          <w:b/>
          <w:bCs/>
        </w:rPr>
        <w:t xml:space="preserve">[T]</w:t>
      </w:r>
      <w:r>
        <w:t xml:space="preserve"> </w:t>
      </w:r>
      <w:r>
        <w:t xml:space="preserve">explicit inspected text;</w:t>
      </w:r>
      <w:r>
        <w:t xml:space="preserve"> </w:t>
      </w:r>
      <w:r>
        <w:rPr>
          <w:b/>
          <w:bCs/>
        </w:rPr>
        <w:t xml:space="preserve">[R]</w:t>
      </w:r>
      <w:r>
        <w:t xml:space="preserve"> </w:t>
      </w:r>
      <w:r>
        <w:t xml:space="preserve">reconstruction of inspected arguments;</w:t>
      </w:r>
      <w:r>
        <w:t xml:space="preserve"> </w:t>
      </w:r>
      <w:r>
        <w:rPr>
          <w:b/>
          <w:bCs/>
        </w:rPr>
        <w:t xml:space="preserve">[C]</w:t>
      </w:r>
      <w:r>
        <w:t xml:space="preserve"> </w:t>
      </w:r>
      <w:r>
        <w:t xml:space="preserve">constructive proposal;</w:t>
      </w:r>
      <w:r>
        <w:t xml:space="preserve"> </w:t>
      </w:r>
      <w:r>
        <w:rPr>
          <w:b/>
          <w:bCs/>
        </w:rPr>
        <w:t xml:space="preserve">[S]</w:t>
      </w:r>
      <w:r>
        <w:t xml:space="preserve"> </w:t>
      </w:r>
      <w:r>
        <w:t xml:space="preserve">inspected secondary interpretation;</w:t>
      </w:r>
      <w:r>
        <w:t xml:space="preserve"> </w:t>
      </w:r>
      <w:r>
        <w:rPr>
          <w:b/>
          <w:bCs/>
        </w:rPr>
        <w:t xml:space="preserve">[L]</w:t>
      </w:r>
      <w:r>
        <w:t xml:space="preserve"> </w:t>
      </w:r>
      <w:r>
        <w:t xml:space="preserve">source or interpretation awaiting inspection. Nothing here claims that a modern formal model is a historical author’s own formalism.</w:t>
      </w:r>
    </w:p>
    <w:bookmarkStart w:id="221" w:name="verified-primary-texts"/>
    <w:p>
      <w:pPr>
        <w:pStyle w:val="Heading3"/>
      </w:pPr>
      <w:r>
        <w:t xml:space="preserve">Verified primary texts</w:t>
      </w:r>
    </w:p>
    <w:p>
      <w:pPr>
        <w:numPr>
          <w:ilvl w:val="0"/>
          <w:numId w:val="1010"/>
        </w:numPr>
      </w:pPr>
      <w:r>
        <w:t xml:space="preserve">Thomas Aquinas,</w:t>
      </w:r>
      <w:r>
        <w:t xml:space="preserve"> </w:t>
      </w:r>
      <w:r>
        <w:rPr>
          <w:i/>
          <w:iCs/>
        </w:rPr>
        <w:t xml:space="preserve">Summa theologiae</w:t>
      </w:r>
      <w:r>
        <w:t xml:space="preserve">, Prima Pars, translated by the Fathers of the English Dominican Province, Project Gutenberg #17611; full text inspected through the</w:t>
      </w:r>
      <w:r>
        <w:t xml:space="preserve"> </w:t>
      </w:r>
      <w:hyperlink r:id="rId126">
        <w:r>
          <w:rPr>
            <w:rStyle w:val="Hyperlink"/>
          </w:rPr>
          <w:t xml:space="preserve">GITenberg mirror</w:t>
        </w:r>
      </w:hyperlink>
      <w:r>
        <w:t xml:space="preserve">. This is an established historical translation, not a substitute for consulting the Leonine Latin on disputed vocabulary. Stable individual-question links below point to the same translation on New Advent; New Advent was blocked during this run.</w:t>
      </w:r>
    </w:p>
    <w:p>
      <w:pPr>
        <w:numPr>
          <w:ilvl w:val="0"/>
          <w:numId w:val="1010"/>
        </w:numPr>
      </w:pPr>
      <w:r>
        <w:t xml:space="preserve">John Henry Newman,</w:t>
      </w:r>
      <w:r>
        <w:t xml:space="preserve"> </w:t>
      </w:r>
      <w:r>
        <w:rPr>
          <w:i/>
          <w:iCs/>
        </w:rPr>
        <w:t xml:space="preserve">An Essay on the Development of Christian Doctrine</w:t>
      </w:r>
      <w:r>
        <w:t xml:space="preserve">, Project Gutenberg #35110;</w:t>
      </w:r>
      <w:r>
        <w:t xml:space="preserve"> </w:t>
      </w:r>
      <w:hyperlink r:id="rId219">
        <w:r>
          <w:rPr>
            <w:rStyle w:val="Hyperlink"/>
          </w:rPr>
          <w:t xml:space="preserve">full GITenberg text</w:t>
        </w:r>
      </w:hyperlink>
      <w:r>
        <w:t xml:space="preserve">, especially chapter V. Its table of contents and chapter-V passages were checked. The</w:t>
      </w:r>
      <w:r>
        <w:t xml:space="preserve"> </w:t>
      </w:r>
      <w:hyperlink r:id="rId220">
        <w:r>
          <w:rPr>
            <w:rStyle w:val="Hyperlink"/>
          </w:rPr>
          <w:t xml:space="preserve">Newman Reader chapter</w:t>
        </w:r>
      </w:hyperlink>
      <w:r>
        <w:t xml:space="preserve"> </w:t>
      </w:r>
      <w:r>
        <w:t xml:space="preserve">remains a useful alternative but was blocked during this run.</w:t>
      </w:r>
    </w:p>
    <w:p>
      <w:pPr>
        <w:numPr>
          <w:ilvl w:val="0"/>
          <w:numId w:val="1010"/>
        </w:numPr>
      </w:pPr>
      <w:r>
        <w:rPr>
          <w:b/>
          <w:bCs/>
        </w:rPr>
        <w:t xml:space="preserve">[S]</w:t>
      </w:r>
      <w:r>
        <w:t xml:space="preserve"> </w:t>
      </w:r>
      <w:r>
        <w:t xml:space="preserve">Archived SEP article</w:t>
      </w:r>
      <w:r>
        <w:t xml:space="preserve"> </w:t>
      </w:r>
      <w:r>
        <w:rPr>
          <w:rStyle w:val="VerbatimChar"/>
        </w:rPr>
        <w:t xml:space="preserve">duns-scotus</w:t>
      </w:r>
      <w:r>
        <w:t xml:space="preserve">, retrieved from the</w:t>
      </w:r>
      <w:r>
        <w:t xml:space="preserve"> </w:t>
      </w:r>
      <w:hyperlink r:id="rId132">
        <w:r>
          <w:rPr>
            <w:rStyle w:val="Hyperlink"/>
          </w:rPr>
          <w:t xml:space="preserve">philo2vec corpus</w:t>
        </w:r>
      </w:hyperlink>
      <w:r>
        <w:t xml:space="preserve">, identified by the corpus entry, inspected as paragraphs in</w:t>
      </w:r>
      <w:r>
        <w:t xml:space="preserve"> </w:t>
      </w:r>
      <w:r>
        <w:rPr>
          <w:rStyle w:val="VerbatimChar"/>
        </w:rPr>
        <w:t xml:space="preserve">/tmp/latin-sources/mirror-duns-scotus.txt</w:t>
      </w:r>
      <w:r>
        <w:t xml:space="preserve">. Corpus README identifies SEP provenance; repository commit dates the archive no later than 12 August 2016. Exact article revision, author header, and bibliography were omitted from the extraction. Treat as historical specialist commentary, not verified current coverage.</w:t>
      </w:r>
    </w:p>
    <w:bookmarkEnd w:id="221"/>
    <w:bookmarkStart w:id="232" w:name="X57aea182b3a733b751520c137ed04b50b39a98b"/>
    <w:p>
      <w:pPr>
        <w:pStyle w:val="Heading3"/>
      </w:pPr>
      <w:r>
        <w:t xml:space="preserve">1. Aquinas: distinct commitments, not one self-explanatory word</w:t>
      </w:r>
    </w:p>
    <w:p>
      <w:pPr>
        <w:pStyle w:val="FirstParagraph"/>
      </w:pPr>
      <w:r>
        <w:rPr>
          <w:b/>
          <w:bCs/>
        </w:rPr>
        <w:t xml:space="preserve">[T] Participation and causality.</w:t>
      </w:r>
      <w:r>
        <w:t xml:space="preserve"> </w:t>
      </w:r>
      <w:hyperlink r:id="rId222">
        <w:r>
          <w:rPr>
            <w:rStyle w:val="Hyperlink"/>
          </w:rPr>
          <w:t xml:space="preserve">ST I.44.1</w:t>
        </w:r>
      </w:hyperlink>
      <w:r>
        <w:t xml:space="preserve"> </w:t>
      </w:r>
      <w:r>
        <w:t xml:space="preserve">argues that what has being by participation is caused by what has it essentially; the argument invokes earlier conclusions that God is subsisting being and that subsisting being is one. This is not a deduction from the bare word</w:t>
      </w:r>
      <w:r>
        <w:t xml:space="preserve"> </w:t>
      </w:r>
      <w:r>
        <w:rPr>
          <w:i/>
          <w:iCs/>
        </w:rPr>
        <w:t xml:space="preserve">participation</w:t>
      </w:r>
      <w:r>
        <w:t xml:space="preserve">. It imports substantive commitments about essential possession, causal priority, and uniqueness. The reply to objection 1 distinguishes the essence or definition of a caused thing from its consequent relation to its cause. The reply to objection 2 explicitly allows necessary beings to have causes of their necessity.</w:t>
      </w:r>
    </w:p>
    <w:p>
      <w:pPr>
        <w:pStyle w:val="BodyText"/>
      </w:pPr>
      <w:r>
        <w:rPr>
          <w:b/>
          <w:bCs/>
        </w:rPr>
        <w:t xml:space="preserve">[C] Formal consequence:</w:t>
      </w:r>
      <w:r>
        <w:t xml:space="preserve"> </w:t>
      </w:r>
      <w:r>
        <w:t xml:space="preserve">do not define dependence as merely</w:t>
      </w:r>
      <w:r>
        <w:t xml:space="preserve"> </w:t>
      </w:r>
      <w:r>
        <w:t xml:space="preserve">“</w:t>
      </w:r>
      <w:r>
        <w:t xml:space="preserve">would not exist if its source did not exist.</w:t>
      </w:r>
      <w:r>
        <w:t xml:space="preserve">”</w:t>
      </w:r>
      <w:r>
        <w:t xml:space="preserve"> </w:t>
      </w:r>
      <w:r>
        <w:t xml:space="preserve">With a necessary source that counterfactual may be vacuous; necessary derivative beings can still depend. An explanatory or productive dependence relation must carry more information than modal covariance. Conversely, dependent actuality alone does not establish likeness, infinite source, or freedom.</w:t>
      </w:r>
    </w:p>
    <w:p>
      <w:pPr>
        <w:pStyle w:val="BodyText"/>
      </w:pPr>
      <w:r>
        <w:rPr>
          <w:b/>
          <w:bCs/>
        </w:rPr>
        <w:t xml:space="preserve">[T] No shared genus.</w:t>
      </w:r>
      <w:r>
        <w:t xml:space="preserve"> </w:t>
      </w:r>
      <w:hyperlink r:id="rId223">
        <w:r>
          <w:rPr>
            <w:rStyle w:val="Hyperlink"/>
          </w:rPr>
          <w:t xml:space="preserve">ST I.3.5</w:t>
        </w:r>
      </w:hyperlink>
      <w:r>
        <w:t xml:space="preserve"> </w:t>
      </w:r>
      <w:r>
        <w:t xml:space="preserve">denies that God belongs to a genus, either as a species or as the principle reducible to that genus. Its grounds include the distinctions between essence/existence and actuality/potentiality, and God’s universal causal scope. It does not infer non-generic status from numerical difference alone. In I.4.3 the creature’s likeness is explicitly distinguished from sameness of specific or generic formality. There is real likeness through analogy, rather than a divine and creaturely species under a common genus.</w:t>
      </w:r>
    </w:p>
    <w:p>
      <w:pPr>
        <w:pStyle w:val="BodyText"/>
      </w:pPr>
      <w:r>
        <w:rPr>
          <w:b/>
          <w:bCs/>
        </w:rPr>
        <w:t xml:space="preserve">[T] Causal likeness has a bridge.</w:t>
      </w:r>
      <w:r>
        <w:t xml:space="preserve"> </w:t>
      </w:r>
      <w:hyperlink r:id="rId224">
        <w:r>
          <w:rPr>
            <w:rStyle w:val="Hyperlink"/>
          </w:rPr>
          <w:t xml:space="preserve">ST I.4.2–3</w:t>
        </w:r>
      </w:hyperlink>
      <w:r>
        <w:t xml:space="preserve"> </w:t>
      </w:r>
      <w:r>
        <w:t xml:space="preserve">argues that an effect’s perfection must be in its effective cause either under the same formality or more eminently. Every agent produces an effect according to its form; this motivates some resemblance even in non-univocal causality. I.4.3 distinguishes equal likeness, unequal likeness within the same formality, and analogical likeness without common specific/generic formality.</w:t>
      </w:r>
      <w:r>
        <w:t xml:space="preserve"> </w:t>
      </w:r>
      <w:r>
        <w:rPr>
          <w:b/>
          <w:bCs/>
        </w:rPr>
        <w:t xml:space="preserve">[R]</w:t>
      </w:r>
      <w:r>
        <w:t xml:space="preserve"> </w:t>
      </w:r>
      <w:r>
        <w:t xml:space="preserve">Thus causal adequacy is a metaphysical principle employed by Aquinas, not a theorem of the uninterpreted relation</w:t>
      </w:r>
      <w:r>
        <w:t xml:space="preserve"> </w:t>
      </w:r>
      <w:r>
        <w:t xml:space="preserve">“</w:t>
      </w:r>
      <w:r>
        <w:t xml:space="preserve">causes.</w:t>
      </w:r>
      <w:r>
        <w:t xml:space="preserve">”</w:t>
      </w:r>
      <w:r>
        <w:t xml:space="preserve"> </w:t>
      </w:r>
      <w:r>
        <w:t xml:space="preserve">A contemporary formalization must state the bridge openly.</w:t>
      </w:r>
    </w:p>
    <w:p>
      <w:pPr>
        <w:pStyle w:val="BodyText"/>
      </w:pPr>
      <w:r>
        <w:rPr>
          <w:b/>
          <w:bCs/>
        </w:rPr>
        <w:t xml:space="preserve">[C] Semantic safeguard:</w:t>
      </w:r>
      <w:r>
        <w:t xml:space="preserve"> </w:t>
      </w:r>
      <w:r>
        <w:t xml:space="preserve">a common predicate or representational</w:t>
      </w:r>
      <w:r>
        <w:t xml:space="preserve"> </w:t>
      </w:r>
      <w:r>
        <w:t xml:space="preserve">“</w:t>
      </w:r>
      <w:r>
        <w:t xml:space="preserve">perfection coordinate</w:t>
      </w:r>
      <w:r>
        <w:t xml:space="preserve">”</w:t>
      </w:r>
      <w:r>
        <w:t xml:space="preserve"> </w:t>
      </w:r>
      <w:r>
        <w:t xml:space="preserve">is not automatically a genus. A genus is a shared categorial essence specified by differences. Nevertheless, if the formal representation makes God and creatures instances of exactly the same intrinsic property-kind and differs only by degree, it has quietly recreated what the stronger analogical account rejects. Separate positive perfection from its created realization; spatial shape and color cannot simply be attributed to God in the same way as to bodies.</w:t>
      </w:r>
    </w:p>
    <w:p>
      <w:pPr>
        <w:pStyle w:val="BodyText"/>
      </w:pPr>
      <w:r>
        <w:rPr>
          <w:b/>
          <w:bCs/>
        </w:rPr>
        <w:t xml:space="preserve">[T] Reception belongs to the recipient.</w:t>
      </w:r>
      <w:r>
        <w:t xml:space="preserve"> </w:t>
      </w:r>
      <w:r>
        <w:t xml:space="preserve">ST I.84.1 states that</w:t>
      </w:r>
      <w:r>
        <w:t xml:space="preserve"> </w:t>
      </w:r>
      <w:r>
        <w:t xml:space="preserve">“</w:t>
      </w:r>
      <w:r>
        <w:t xml:space="preserve">the received is in the receiver according to the mode of the receiver,</w:t>
      </w:r>
      <w:r>
        <w:t xml:space="preserve">”</w:t>
      </w:r>
      <w:r>
        <w:t xml:space="preserve"> </w:t>
      </w:r>
      <w:r>
        <w:t xml:space="preserve">explaining why the intellect’s immaterial reception of a bodily form does not make the external thing immaterial. I.12.4 similarly separates the object’s being from the knower’s mode. I.89.4 applies the general recipient principle to infused cognitive species.</w:t>
      </w:r>
      <w:r>
        <w:t xml:space="preserve"> </w:t>
      </w:r>
      <w:r>
        <w:rPr>
          <w:b/>
          <w:bCs/>
        </w:rPr>
        <w:t xml:space="preserve">[R]</w:t>
      </w:r>
      <w:r>
        <w:t xml:space="preserve"> </w:t>
      </w:r>
      <w:r>
        <w:t xml:space="preserve">These are particularly useful anti-smuggling texts: knowing or expressing something under a finite mode does not transfer that mode into the thing known or expressed. They are not, by themselves, proofs that any source is unlimited.</w:t>
      </w:r>
    </w:p>
    <w:p>
      <w:pPr>
        <w:pStyle w:val="BodyText"/>
      </w:pPr>
      <w:r>
        <w:rPr>
          <w:b/>
          <w:bCs/>
        </w:rPr>
        <w:t xml:space="preserve">[T] Infinity needs ontology.</w:t>
      </w:r>
      <w:r>
        <w:t xml:space="preserve"> </w:t>
      </w:r>
      <w:hyperlink r:id="rId225">
        <w:r>
          <w:rPr>
            <w:rStyle w:val="Hyperlink"/>
          </w:rPr>
          <w:t xml:space="preserve">ST I.7.1</w:t>
        </w:r>
      </w:hyperlink>
      <w:r>
        <w:t xml:space="preserve"> </w:t>
      </w:r>
      <w:r>
        <w:t xml:space="preserve">derives divine infinity from subsisting being not received in anything, within Aquinas’s account of matter/form and contraction. I.7.2 distinguishes a form’s relative independence from matter from absolute infinity: created immaterial forms still receive being.</w:t>
      </w:r>
      <w:r>
        <w:t xml:space="preserve"> </w:t>
      </w:r>
      <w:r>
        <w:rPr>
          <w:b/>
          <w:bCs/>
        </w:rPr>
        <w:t xml:space="preserve">[C]</w:t>
      </w:r>
      <w:r>
        <w:t xml:space="preserve"> </w:t>
      </w:r>
      <w:r>
        <w:t xml:space="preserve">“</w:t>
      </w:r>
      <w:r>
        <w:t xml:space="preserve">Unreceived in respect r</w:t>
      </w:r>
      <w:r>
        <w:t xml:space="preserve">”</w:t>
      </w:r>
      <w:r>
        <w:t xml:space="preserve"> </w:t>
      </w:r>
      <w:r>
        <w:t xml:space="preserve">is weaker than</w:t>
      </w:r>
      <w:r>
        <w:t xml:space="preserve"> </w:t>
      </w:r>
      <w:r>
        <w:t xml:space="preserve">“</w:t>
      </w:r>
      <w:r>
        <w:t xml:space="preserve">unlimited in every respect.</w:t>
      </w:r>
      <w:r>
        <w:t xml:space="preserve">”</w:t>
      </w:r>
      <w:r>
        <w:t xml:space="preserve"> </w:t>
      </w:r>
      <w:r>
        <w:t xml:space="preserve">A finite brute independent source is a logical countermodel unless a separate limitation principle excludes it. Non-exhaustion therefore belongs to an infinity layer, not the generic definition of participation.</w:t>
      </w:r>
    </w:p>
    <w:p>
      <w:pPr>
        <w:pStyle w:val="BodyText"/>
      </w:pPr>
      <w:r>
        <w:rPr>
          <w:b/>
          <w:bCs/>
        </w:rPr>
        <w:t xml:space="preserve">[T] Presence without constituency.</w:t>
      </w:r>
      <w:r>
        <w:t xml:space="preserve"> </w:t>
      </w:r>
      <w:hyperlink r:id="rId223">
        <w:r>
          <w:rPr>
            <w:rStyle w:val="Hyperlink"/>
          </w:rPr>
          <w:t xml:space="preserve">ST I.3.8</w:t>
        </w:r>
      </w:hyperlink>
      <w:r>
        <w:t xml:space="preserve"> </w:t>
      </w:r>
      <w:r>
        <w:t xml:space="preserve">excludes God as either material or formal component of creatures. The reply to objection 1 construes God as their efficient and exemplar cause, not their essence; objection 2’s uncreated form is answered as exemplar, not constituent form.</w:t>
      </w:r>
      <w:r>
        <w:t xml:space="preserve"> </w:t>
      </w:r>
      <w:hyperlink r:id="rId226">
        <w:r>
          <w:rPr>
            <w:rStyle w:val="Hyperlink"/>
          </w:rPr>
          <w:t xml:space="preserve">I.8.1</w:t>
        </w:r>
      </w:hyperlink>
      <w:r>
        <w:t xml:space="preserve"> </w:t>
      </w:r>
      <w:r>
        <w:t xml:space="preserve">then gives the positive account: God is present as agent, sustains being for as long as the creature exists, and is intimate because being is innermost. This combines production, conservation, and non-constitution.</w:t>
      </w:r>
      <w:r>
        <w:t xml:space="preserve"> </w:t>
      </w:r>
      <w:r>
        <w:rPr>
          <w:b/>
          <w:bCs/>
        </w:rPr>
        <w:t xml:space="preserve">[R]</w:t>
      </w:r>
      <w:r>
        <w:t xml:space="preserve"> </w:t>
      </w:r>
      <w:r>
        <w:t xml:space="preserve">An initial-cause axiom alone leaves deism open; continuing causal dependence is required for the intended intimacy.</w:t>
      </w:r>
    </w:p>
    <w:p>
      <w:pPr>
        <w:pStyle w:val="BodyText"/>
      </w:pPr>
      <w:r>
        <w:rPr>
          <w:b/>
          <w:bCs/>
        </w:rPr>
        <w:t xml:space="preserve">[T] Real creaturely goodness.</w:t>
      </w:r>
      <w:r>
        <w:t xml:space="preserve"> </w:t>
      </w:r>
      <w:r>
        <w:t xml:space="preserve">ST I.6.4 says creatures are good through their own created goodness while dependent upon divine goodness as exemplar, efficient, and final cause. I.15.1 rejects ideas existing outside God as independent explanatory entities. I.44.2 brings primary matter itself within creation; I.44.3 locates exemplarity in divine wisdom, while allowing subordinate exemplars within creation.</w:t>
      </w:r>
      <w:r>
        <w:t xml:space="preserve"> </w:t>
      </w:r>
      <w:r>
        <w:rPr>
          <w:b/>
          <w:bCs/>
        </w:rPr>
        <w:t xml:space="preserve">[C]</w:t>
      </w:r>
      <w:r>
        <w:t xml:space="preserve"> </w:t>
      </w:r>
      <w:r>
        <w:t xml:space="preserve">This excludes independent Platonic Forms as ultimate co-sources, not every created universal, mathematical object, or secondary exemplar; those require further ontological decisions.</w:t>
      </w:r>
    </w:p>
    <w:p>
      <w:pPr>
        <w:pStyle w:val="BodyText"/>
      </w:pPr>
      <w:r>
        <w:rPr>
          <w:b/>
          <w:bCs/>
        </w:rPr>
        <w:t xml:space="preserve">[T] Multiplicity without acquired divine images.</w:t>
      </w:r>
      <w:r>
        <w:t xml:space="preserve"> </w:t>
      </w:r>
      <w:hyperlink r:id="rId227">
        <w:r>
          <w:rPr>
            <w:rStyle w:val="Hyperlink"/>
          </w:rPr>
          <w:t xml:space="preserve">ST I.15.2</w:t>
        </w:r>
      </w:hyperlink>
      <w:r>
        <w:t xml:space="preserve"> </w:t>
      </w:r>
      <w:r>
        <w:t xml:space="preserve">distinguishes the objects understood from the forms by which understanding is actualized. Many ideas are the divine essence understood as variously imitable; they do not form God through multiple acquired cognitive images. Replies 3–4 locate the relevant ideal comparisons in divine understanding, not in creaturely effects as causes of God’s eternal knowledge.</w:t>
      </w:r>
      <w:r>
        <w:t xml:space="preserve"> </w:t>
      </w:r>
      <w:r>
        <w:rPr>
          <w:b/>
          <w:bCs/>
        </w:rPr>
        <w:t xml:space="preserve">[R]</w:t>
      </w:r>
      <w:r>
        <w:t xml:space="preserve"> </w:t>
      </w:r>
      <w:r>
        <w:t xml:space="preserve">This supplies a disciplined precursor to distinguishing one intrinsic actuality from multiple object-relative determinations. It does not justify identifying all such distinctions with merely arbitrary human descriptions.</w:t>
      </w:r>
    </w:p>
    <w:p>
      <w:pPr>
        <w:pStyle w:val="BodyText"/>
      </w:pPr>
      <w:r>
        <w:rPr>
          <w:b/>
          <w:bCs/>
        </w:rPr>
        <w:t xml:space="preserve">[T] Mixed relations.</w:t>
      </w:r>
      <w:r>
        <w:t xml:space="preserve"> </w:t>
      </w:r>
      <w:hyperlink r:id="rId228">
        <w:r>
          <w:rPr>
            <w:rStyle w:val="Hyperlink"/>
          </w:rPr>
          <w:t xml:space="preserve">ST I.13.7</w:t>
        </w:r>
      </w:hyperlink>
      <w:r>
        <w:t xml:space="preserve"> </w:t>
      </w:r>
      <w:r>
        <w:t xml:space="preserve">distinguishes relations real at both termini, relations of reason at both, and a relation real on one side only. Creatures are really related to God; God’s ad-extra relative denomination introduces no change or acquired relational accident in God. Reply 5 insists that divine lordship is real because creaturely subjection is real.</w:t>
      </w:r>
      <w:r>
        <w:t xml:space="preserve"> </w:t>
      </w:r>
      <w:hyperlink r:id="rId229">
        <w:r>
          <w:rPr>
            <w:rStyle w:val="Hyperlink"/>
          </w:rPr>
          <w:t xml:space="preserve">I.45.3</w:t>
        </w:r>
      </w:hyperlink>
      <w:r>
        <w:t xml:space="preserve"> </w:t>
      </w:r>
      <w:r>
        <w:t xml:space="preserve">applies this distinction to creation: passive creation is a real creaturely relation; active creation names divine action with a relation of reason to the creature.</w:t>
      </w:r>
    </w:p>
    <w:p>
      <w:pPr>
        <w:pStyle w:val="BodyText"/>
      </w:pPr>
      <w:r>
        <w:rPr>
          <w:b/>
          <w:bCs/>
        </w:rPr>
        <w:t xml:space="preserve">[C] Formalization safeguard:</w:t>
      </w:r>
      <w:r>
        <w:t xml:space="preserve"> </w:t>
      </w:r>
      <w:r>
        <w:t xml:space="preserve">a true binary proposition can concern both relata without an intrinsic accident being added to both.</w:t>
      </w:r>
      <w:r>
        <w:t xml:space="preserve"> </w:t>
      </w:r>
      <w:r>
        <w:t xml:space="preserve">“</w:t>
      </w:r>
      <w:r>
        <w:t xml:space="preserve">Real in the creature</w:t>
      </w:r>
      <w:r>
        <w:t xml:space="preserve">”</w:t>
      </w:r>
      <w:r>
        <w:t xml:space="preserve"> </w:t>
      </w:r>
      <w:r>
        <w:t xml:space="preserve">concerns how the relation is grounded, not whether its inverse sentence is true. This should be called an interpretation of medieval mixed relations, not claimed to be Aquinas’s theory of modern abstract relational facts. Do not generalize ad-extra non-acquisition into denial of real divine personal relations: I.15.2 ad4 explicitly contrasts ideal relations with relations distinguishing the Persons.</w:t>
      </w:r>
    </w:p>
    <w:p>
      <w:pPr>
        <w:pStyle w:val="BodyText"/>
      </w:pPr>
      <w:r>
        <w:rPr>
          <w:b/>
          <w:bCs/>
        </w:rPr>
        <w:t xml:space="preserve">[T] Non-rivalry requires secondary causes.</w:t>
      </w:r>
      <w:r>
        <w:t xml:space="preserve"> </w:t>
      </w:r>
      <w:hyperlink r:id="rId230">
        <w:r>
          <w:rPr>
            <w:rStyle w:val="Hyperlink"/>
          </w:rPr>
          <w:t xml:space="preserve">ST I.105.5</w:t>
        </w:r>
      </w:hyperlink>
      <w:r>
        <w:t xml:space="preserve"> </w:t>
      </w:r>
      <w:r>
        <w:t xml:space="preserve">directly rejects the claim that created powers effect nothing while God alone does everything. The creature has its proper operation; reply 2 allows the same action to proceed from primary and secondary agents of different orders.</w:t>
      </w:r>
      <w:r>
        <w:t xml:space="preserve"> </w:t>
      </w:r>
      <w:r>
        <w:rPr>
          <w:b/>
          <w:bCs/>
        </w:rPr>
        <w:t xml:space="preserve">[C]</w:t>
      </w:r>
      <w:r>
        <w:t xml:space="preserve"> </w:t>
      </w:r>
      <w:r>
        <w:t xml:space="preserve">Total dependence without identity remains compatible with occasionalism unless creaturely efficacy is added. Source-caused capacities and their genuine exercise are needed for strong noncompetitive causality.</w:t>
      </w:r>
    </w:p>
    <w:p>
      <w:pPr>
        <w:pStyle w:val="BodyText"/>
      </w:pPr>
      <w:r>
        <w:rPr>
          <w:b/>
          <w:bCs/>
        </w:rPr>
        <w:t xml:space="preserve">[T] Freedom includes will and an unnecessary means.</w:t>
      </w:r>
      <w:r>
        <w:t xml:space="preserve"> </w:t>
      </w:r>
      <w:hyperlink r:id="rId231">
        <w:r>
          <w:rPr>
            <w:rStyle w:val="Hyperlink"/>
          </w:rPr>
          <w:t xml:space="preserve">ST I.19.3</w:t>
        </w:r>
      </w:hyperlink>
      <w:r>
        <w:t xml:space="preserve"> </w:t>
      </w:r>
      <w:r>
        <w:t xml:space="preserve">distinguishes absolute necessity from necessity by supposition. God necessarily wills divine goodness; finite goods are not required for that goodness and add no perfection. Their willing is not absolutely necessary; ad5 identifies God’s self-determining will.</w:t>
      </w:r>
      <w:r>
        <w:t xml:space="preserve"> </w:t>
      </w:r>
      <w:r>
        <w:rPr>
          <w:b/>
          <w:bCs/>
        </w:rPr>
        <w:t xml:space="preserve">[C]</w:t>
      </w:r>
      <w:r>
        <w:t xml:space="preserve"> </w:t>
      </w:r>
      <w:r>
        <w:t xml:space="preserve">Non-exhaustion alone does not supply this result. An inexhaustible source might necessarily produce this non-exhaustive world. To infer contingency, add admissible alternatives and a mode of communication not necessitated by intrinsic fullness; to infer</w:t>
      </w:r>
      <w:r>
        <w:t xml:space="preserve"> </w:t>
      </w:r>
      <w:r>
        <w:rPr>
          <w:i/>
          <w:iCs/>
        </w:rPr>
        <w:t xml:space="preserve">freedom</w:t>
      </w:r>
      <w:r>
        <w:t xml:space="preserve">, add intentional self-determination. Contemporary possible-world consistency is a constructive task beyond quoting I.19.3.</w:t>
      </w:r>
    </w:p>
    <w:bookmarkEnd w:id="232"/>
    <w:bookmarkStart w:id="234" w:name="X47c87cf8b666a29e890012b85c73068cfb82223"/>
    <w:p>
      <w:pPr>
        <w:pStyle w:val="Heading3"/>
      </w:pPr>
      <w:r>
        <w:t xml:space="preserve">2. Scotus: indispensable resistance to homogenization</w:t>
      </w:r>
    </w:p>
    <w:p>
      <w:pPr>
        <w:pStyle w:val="FirstParagraph"/>
      </w:pPr>
      <w:r>
        <w:rPr>
          <w:b/>
          <w:bCs/>
        </w:rPr>
        <w:t xml:space="preserve">[L] Primary loci to inspect:</w:t>
      </w:r>
      <w:r>
        <w:t xml:space="preserve"> </w:t>
      </w:r>
      <w:r>
        <w:rPr>
          <w:i/>
          <w:iCs/>
        </w:rPr>
        <w:t xml:space="preserve">Ordinatio</w:t>
      </w:r>
      <w:r>
        <w:t xml:space="preserve"> </w:t>
      </w:r>
      <w:r>
        <w:t xml:space="preserve">I d.3 p.1 qq.1–2, on the concept of being and natural knowledge of God; I d.8 p.1 q.3, on univocity and genus; I d.8 p.1 q.4, on simplicity and formally distinct divine perfections;</w:t>
      </w:r>
      <w:r>
        <w:t xml:space="preserve"> </w:t>
      </w:r>
      <w:r>
        <w:rPr>
          <w:i/>
          <w:iCs/>
        </w:rPr>
        <w:t xml:space="preserve">Lectura</w:t>
      </w:r>
      <w:r>
        <w:t xml:space="preserve"> </w:t>
      </w:r>
      <w:r>
        <w:t xml:space="preserve">I d.39 qq.1–5, on divine foreknowledge and contingency. Use the critical Vatican editions for the</w:t>
      </w:r>
      <w:r>
        <w:t xml:space="preserve"> </w:t>
      </w:r>
      <w:r>
        <w:rPr>
          <w:i/>
          <w:iCs/>
        </w:rPr>
        <w:t xml:space="preserve">Ordinatio</w:t>
      </w:r>
      <w:r>
        <w:t xml:space="preserve"> </w:t>
      </w:r>
      <w:r>
        <w:t xml:space="preserve">and</w:t>
      </w:r>
      <w:r>
        <w:t xml:space="preserve"> </w:t>
      </w:r>
      <w:r>
        <w:rPr>
          <w:i/>
          <w:iCs/>
        </w:rPr>
        <w:t xml:space="preserve">Lectura</w:t>
      </w:r>
      <w:r>
        <w:t xml:space="preserve">. These loci are specific research leads, not passages verified here.</w:t>
      </w:r>
      <w:r>
        <w:t xml:space="preserve"> </w:t>
      </w:r>
      <w:hyperlink r:id="rId233">
        <w:r>
          <w:rPr>
            <w:rStyle w:val="Hyperlink"/>
          </w:rPr>
          <w:t xml:space="preserve">Stanford’s Scotus article</w:t>
        </w:r>
      </w:hyperlink>
      <w:r>
        <w:t xml:space="preserve"> </w:t>
      </w:r>
      <w:r>
        <w:t xml:space="preserve">is a specialist entry point; it was blocked.</w:t>
      </w:r>
    </w:p>
    <w:p>
      <w:pPr>
        <w:pStyle w:val="BodyText"/>
      </w:pPr>
      <w:r>
        <w:rPr>
          <w:b/>
          <w:bCs/>
        </w:rPr>
        <w:t xml:space="preserve">[S] Verified secondary findings:</w:t>
      </w:r>
      <w:r>
        <w:t xml:space="preserve"> </w:t>
      </w:r>
      <w:r>
        <w:t xml:space="preserve">the archived SEP article identifies</w:t>
      </w:r>
      <w:r>
        <w:t xml:space="preserve"> </w:t>
      </w:r>
      <w:r>
        <w:rPr>
          <w:i/>
          <w:iCs/>
        </w:rPr>
        <w:t xml:space="preserve">Ordinatio</w:t>
      </w:r>
      <w:r>
        <w:t xml:space="preserve"> </w:t>
      </w:r>
      <w:r>
        <w:t xml:space="preserve">I d.3 p.1 qq.1–2 nn.26–55 for univocal predication and describes infinite being as an intrinsic, positive mode. It quotes I d.1 p.1 qq.1–2 n.142 on a thing’s own intrinsic degree of finite or infinite perfection. Its argument explicitly denies that simplicity alone entails infinity. This is an indirect citation; the primary passage remains unconsulted. The article advocates a strong voluntarist interpretation of Scotus and libertarian alternatives at the moment of choice; use it as one interpretation rather than consensus.</w:t>
      </w:r>
    </w:p>
    <w:p>
      <w:pPr>
        <w:pStyle w:val="BodyText"/>
      </w:pPr>
      <w:r>
        <w:rPr>
          <w:b/>
          <w:bCs/>
        </w:rPr>
        <w:t xml:space="preserve">[L] Further interpretive stakes to verify:</w:t>
      </w:r>
      <w:r>
        <w:t xml:space="preserve"> </w:t>
      </w:r>
      <w:r>
        <w:t xml:space="preserve">Scotus’s univocal concept of being need not turn being into a genus, since finite and infinite are intrinsic modes rather than species differentiated by something outside being. Therefore</w:t>
      </w:r>
      <w:r>
        <w:t xml:space="preserve"> </w:t>
      </w:r>
      <w:r>
        <w:t xml:space="preserve">“</w:t>
      </w:r>
      <w:r>
        <w:t xml:space="preserve">no common genus</w:t>
      </w:r>
      <w:r>
        <w:t xml:space="preserve">”</w:t>
      </w:r>
      <w:r>
        <w:t xml:space="preserve"> </w:t>
      </w:r>
      <w:r>
        <w:t xml:space="preserve">does not adjudicate the Aquinas–Scotus disagreement about semantic univocity. Nor should formal nonidentity of divine perfections be treated as partition into independently existing things. A core excluding constituents can remain compatible with a Scotist account; a core denying every intrinsic formal distinction cannot be presented as neutral between the schools.</w:t>
      </w:r>
    </w:p>
    <w:p>
      <w:pPr>
        <w:pStyle w:val="BodyText"/>
      </w:pPr>
      <w:r>
        <w:rPr>
          <w:b/>
          <w:bCs/>
        </w:rPr>
        <w:t xml:space="preserve">[C] Retrieval proposed for testing:</w:t>
      </w:r>
      <w:r>
        <w:t xml:space="preserve"> </w:t>
      </w:r>
      <w:r>
        <w:t xml:space="preserve">distinguish intrinsic actuality, the intended object of an action, and its contingent effect. One act’s relation to multiple objects need not mean a succession of acquired acts; neither does necessity of the act immediately establish necessity of each effect. But calling the effect contingent supplies no explanation unless a model demonstrates how that contingency is consistent with the chosen identity, simplicity, and modality principles. If the same intrinsic act entails one world under every admissible circumstance, the modal-collapse objection remains. Do not harmonize it away by alternating meanings of</w:t>
      </w:r>
      <w:r>
        <w:t xml:space="preserve"> </w:t>
      </w:r>
      <w:r>
        <w:t xml:space="preserve">“</w:t>
      </w:r>
      <w:r>
        <w:t xml:space="preserve">act.</w:t>
      </w:r>
      <w:r>
        <w:t xml:space="preserve">”</w:t>
      </w:r>
    </w:p>
    <w:p>
      <w:pPr>
        <w:pStyle w:val="BodyText"/>
      </w:pPr>
      <w:r>
        <w:rPr>
          <w:b/>
          <w:bCs/>
        </w:rPr>
        <w:t xml:space="preserve">[L] Specialist reading priorities:</w:t>
      </w:r>
      <w:r>
        <w:t xml:space="preserve"> </w:t>
      </w:r>
      <w:r>
        <w:t xml:space="preserve">Richard Cross,</w:t>
      </w:r>
      <w:r>
        <w:t xml:space="preserve"> </w:t>
      </w:r>
      <w:r>
        <w:rPr>
          <w:i/>
          <w:iCs/>
        </w:rPr>
        <w:t xml:space="preserve">Duns Scotus</w:t>
      </w:r>
      <w:r>
        <w:t xml:space="preserve"> </w:t>
      </w:r>
      <w:r>
        <w:t xml:space="preserve">(Oxford University Press, 1999), and</w:t>
      </w:r>
      <w:r>
        <w:t xml:space="preserve"> </w:t>
      </w:r>
      <w:r>
        <w:rPr>
          <w:i/>
          <w:iCs/>
        </w:rPr>
        <w:t xml:space="preserve">Duns Scotus on God</w:t>
      </w:r>
      <w:r>
        <w:t xml:space="preserve"> </w:t>
      </w:r>
      <w:r>
        <w:t xml:space="preserve">(Ashgate, 2005); Thomas Williams, ed.,</w:t>
      </w:r>
      <w:r>
        <w:t xml:space="preserve"> </w:t>
      </w:r>
      <w:r>
        <w:rPr>
          <w:i/>
          <w:iCs/>
        </w:rPr>
        <w:t xml:space="preserve">The Cambridge Companion to Duns Scotus</w:t>
      </w:r>
      <w:r>
        <w:t xml:space="preserve"> </w:t>
      </w:r>
      <w:r>
        <w:t xml:space="preserve">(Cambridge University Press, 2003); Antonie Vos and collaborators,</w:t>
      </w:r>
      <w:r>
        <w:t xml:space="preserve"> </w:t>
      </w:r>
      <w:r>
        <w:rPr>
          <w:i/>
          <w:iCs/>
        </w:rPr>
        <w:t xml:space="preserve">John Duns Scotus: Contingency and Freedom, Lectura I 39</w:t>
      </w:r>
      <w:r>
        <w:t xml:space="preserve"> </w:t>
      </w:r>
      <w:r>
        <w:t xml:space="preserve">(Kluwer, 1994). They are not evidence consulted here, and their interpretations of modal structure must be compared, not merged by fiat.</w:t>
      </w:r>
    </w:p>
    <w:bookmarkEnd w:id="234"/>
    <w:bookmarkStart w:id="236" w:name="X95439db47ad230bf0624c53f9ee9510236e3cf7"/>
    <w:p>
      <w:pPr>
        <w:pStyle w:val="Heading3"/>
      </w:pPr>
      <w:r>
        <w:t xml:space="preserve">3. Przywara: articulate an interval without inventing a metric</w:t>
      </w:r>
    </w:p>
    <w:p>
      <w:pPr>
        <w:pStyle w:val="FirstParagraph"/>
      </w:pPr>
      <w:r>
        <w:rPr>
          <w:b/>
          <w:bCs/>
        </w:rPr>
        <w:t xml:space="preserve">[L] Primary source:</w:t>
      </w:r>
      <w:r>
        <w:t xml:space="preserve"> </w:t>
      </w:r>
      <w:r>
        <w:rPr>
          <w:i/>
          <w:iCs/>
        </w:rPr>
        <w:t xml:space="preserve">Analogia Entis: Metaphysics—Original Structure and Universal Rhythm</w:t>
      </w:r>
      <w:r>
        <w:t xml:space="preserve">, trans. John R. Betz and David Bentley Hart (Eerdmans, 2014), especially its original-structure and creaturely-rhythm analyses;</w:t>
      </w:r>
      <w:r>
        <w:t xml:space="preserve"> </w:t>
      </w:r>
      <w:hyperlink r:id="rId235">
        <w:r>
          <w:rPr>
            <w:rStyle w:val="Hyperlink"/>
          </w:rPr>
          <w:t xml:space="preserve">publisher record</w:t>
        </w:r>
      </w:hyperlink>
      <w:r>
        <w:t xml:space="preserve"> </w:t>
      </w:r>
      <w:r>
        <w:t xml:space="preserve">was blocked. Betz’s introductory historical and philosophical study in that edition is a specialist guide, not the only permissible interpretation.</w:t>
      </w:r>
    </w:p>
    <w:p>
      <w:pPr>
        <w:pStyle w:val="BodyText"/>
      </w:pPr>
      <w:r>
        <w:rPr>
          <w:b/>
          <w:bCs/>
        </w:rPr>
        <w:t xml:space="preserve">[C] Structural use, pending textual comparison:</w:t>
      </w:r>
      <w:r>
        <w:t xml:space="preserve"> </w:t>
      </w:r>
      <w:r>
        <w:t xml:space="preserve">creaturely likeness is inseparable from an irreducible difference of mode; greater dissimilarity guards against converting divine excess into a magnified creature.</w:t>
      </w:r>
      <w:r>
        <w:t xml:space="preserve"> </w:t>
      </w:r>
      <w:r>
        <w:t xml:space="preserve">“</w:t>
      </w:r>
      <w:r>
        <w:t xml:space="preserve">Greater</w:t>
      </w:r>
      <w:r>
        <w:t xml:space="preserve">”</w:t>
      </w:r>
      <w:r>
        <w:t xml:space="preserve"> </w:t>
      </w:r>
      <w:r>
        <w:t xml:space="preserve">here must not become a numerical comparison between two quantities without an independently supplied metric. Neither does it mean that similarities are false. Przywara can provide disciplined constraints on the articulation of already-established dependence and analogy. To</w:t>
      </w:r>
      <w:r>
        <w:t xml:space="preserve"> </w:t>
      </w:r>
      <w:r>
        <w:rPr>
          <w:i/>
          <w:iCs/>
        </w:rPr>
        <w:t xml:space="preserve">generate</w:t>
      </w:r>
      <w:r>
        <w:t xml:space="preserve"> </w:t>
      </w:r>
      <w:r>
        <w:t xml:space="preserve">the grammar, the reconstruction must still show why causal dependence entails manifestation under its explicit adequacy principle. A slogan about polarity supplies no missing bridge.</w:t>
      </w:r>
    </w:p>
    <w:p>
      <w:pPr>
        <w:pStyle w:val="BodyText"/>
      </w:pPr>
      <w:r>
        <w:rPr>
          <w:b/>
          <w:bCs/>
        </w:rPr>
        <w:t xml:space="preserve">[C] A good synthetic retrieval leaves open:</w:t>
      </w:r>
      <w:r>
        <w:t xml:space="preserve"> </w:t>
      </w:r>
      <w:r>
        <w:t xml:space="preserve">Aquinas versus Scotus on predication; accounts of divine formal distinctions; and traditions’ differing explanations of creaturely-divine presence. The interval is genuinely ontological distinction, not an extra spatial object wedged between God and creatures.</w:t>
      </w:r>
    </w:p>
    <w:bookmarkEnd w:id="236"/>
    <w:bookmarkStart w:id="237" w:name="Xa960863d418569cd8be66ee92ffe6fe919f48b5"/>
    <w:p>
      <w:pPr>
        <w:pStyle w:val="Heading3"/>
      </w:pPr>
      <w:r>
        <w:t xml:space="preserve">4. Newman: a provisional development test, not retrospective attribution</w:t>
      </w:r>
    </w:p>
    <w:p>
      <w:pPr>
        <w:pStyle w:val="FirstParagraph"/>
      </w:pPr>
      <w:r>
        <w:rPr>
          <w:b/>
          <w:bCs/>
        </w:rPr>
        <w:t xml:space="preserve">[T] Chapter V’s seven notes are:</w:t>
      </w:r>
      <w:r>
        <w:t xml:space="preserve"> </w:t>
      </w:r>
      <w:r>
        <w:t xml:space="preserve">preservation of type (§I), continuity of principles (§II), power of assimilation (§III), logical sequence (§IV), anticipation of its future (§V), conservative action upon its past (§VI), and chronic vigour (§VII). The opening §4 calls them notes</w:t>
      </w:r>
      <w:r>
        <w:t xml:space="preserve"> </w:t>
      </w:r>
      <w:r>
        <w:t xml:space="preserve">“</w:t>
      </w:r>
      <w:r>
        <w:t xml:space="preserve">of varying cogency, independence and applicability.</w:t>
      </w:r>
      <w:r>
        <w:t xml:space="preserve">”</w:t>
      </w:r>
      <w:r>
        <w:t xml:space="preserve"> </w:t>
      </w:r>
      <w:r>
        <w:t xml:space="preserve">§IV explicitly distinguishes conscious deduction from developments that first arise through reflection and are later organized logically. §VI says development should illustrate rather than disturb prior achievements. These are historical-discriminatory notes, not an axiomatic completeness theorem.</w:t>
      </w:r>
    </w:p>
    <w:p>
      <w:pPr>
        <w:pStyle w:val="BodyText"/>
      </w:pPr>
      <w:r>
        <w:rPr>
          <w:b/>
          <w:bCs/>
        </w:rPr>
        <w:t xml:space="preserve">[C] Analogical assessment for this project:</w:t>
      </w:r>
      <w:r>
        <w:t xml:space="preserve"> </w:t>
      </w:r>
      <w:r>
        <w:t xml:space="preserve">preserve the Creator–creature distinction and real created goodness; conserve non-dependence and non-acquisition; assimilate divine-ideas and recipient-mode insights without making the ideas external gods; display an explicit inferential sequence; identify antecedents without ascribing the synthesis to them; retain earlier explanatory achievements while recording disagreements. Deletion models, category checks, and modal consistency checks are new procedures that can serve the logical-sequence and conservation aims.</w:t>
      </w:r>
    </w:p>
    <w:p>
      <w:pPr>
        <w:pStyle w:val="BodyText"/>
      </w:pPr>
      <w:r>
        <w:t xml:space="preserve">A new project cannot already demonstrate Newman’s seventh note of chronic vigour. Present explanatory fruitfulness and successful stress tests as a provisional analogue, not as demonstrated historical endurance. The user is adopting Newman analogically; passing the assessment would neither prove all premises nor confer ecclesial authority on the resulting theory. Genuine tensions cannot be harmonized by calling their reversal a development.</w:t>
      </w:r>
    </w:p>
    <w:bookmarkEnd w:id="237"/>
    <w:bookmarkStart w:id="238" w:name="X4808a4e767f30ad7332d1fbcce9c939eb49bbcf"/>
    <w:p>
      <w:pPr>
        <w:pStyle w:val="Heading3"/>
      </w:pPr>
      <w:r>
        <w:t xml:space="preserve">5. Minimality decisions these witnesses support</w:t>
      </w:r>
    </w:p>
    <w:p>
      <w:pPr>
        <w:pStyle w:val="FirstParagraph"/>
      </w:pPr>
      <w:r>
        <w:rPr>
          <w:b/>
          <w:bCs/>
        </w:rPr>
        <w:t xml:space="preserve">[C] Recommend a layered basis:</w:t>
      </w:r>
      <w:r>
        <w:t xml:space="preserve"> </w:t>
      </w:r>
      <w:r>
        <w:t xml:space="preserve">explanatory dependence distinct from identity; a separate positive-character/perfection language; causal-adequacy bridge; distinction between intrinsic constitution and relational denomination; a finite/limited-mode predicate whose semantics are independently constrained. Then add explicitly divine axioms for universal sustaining source, non-constitution and non-acquisition, infinitude, and the relevant simplicity. Add free intentional communication only when deriving contingent creation; add efficacy of secondary causes when excluding occasionalism.</w:t>
      </w:r>
    </w:p>
    <w:p>
      <w:pPr>
        <w:pStyle w:val="BodyText"/>
      </w:pPr>
      <w:r>
        <w:t xml:space="preserve">Actuality can be the actual-world quantifier’s domain restriction instead of a primitive predicate, but that saves typography rather than explaining actuality. Reception can be defined as actual possession through explanatory production; it should not mean a pre-existing empty receiver subsequently filled, since creation includes the receiver. Participation can be defined as that derivative possession with warranted causal likeness. Non-exhaustion should be derived from finite reception plus a genuinely unlimited source, not built into reception. Mere irreflexive dependence does not forbid a cause being a constituent of its effect. Absence of a common genus must be established separately from mere nonidentity.</w:t>
      </w:r>
    </w:p>
    <w:p>
      <w:pPr>
        <w:pStyle w:val="BodyText"/>
      </w:pPr>
      <w:r>
        <w:t xml:space="preserve">The explanatory stopping point is thus not an innocent three-word formula. Each proposed compression must preserve these distinctions or disclose which metaphysical axiom has been folded into its relation’s semantics.</w:t>
      </w:r>
    </w:p>
    <w:p>
      <w:pPr>
        <w:pStyle w:val="BodyText"/>
      </w:pPr>
      <w:r>
        <w:rPr>
          <w:b/>
          <w:bCs/>
        </w:rPr>
        <w:t xml:space="preserve">[L] Aquinas specialist priorities, not consulted:</w:t>
      </w:r>
      <w:r>
        <w:t xml:space="preserve"> </w:t>
      </w:r>
      <w:r>
        <w:t xml:space="preserve">Rudi A. te Velde,</w:t>
      </w:r>
      <w:r>
        <w:t xml:space="preserve"> </w:t>
      </w:r>
      <w:r>
        <w:rPr>
          <w:i/>
          <w:iCs/>
        </w:rPr>
        <w:t xml:space="preserve">Participation and Substantiality in Thomas Aquinas</w:t>
      </w:r>
      <w:r>
        <w:t xml:space="preserve"> </w:t>
      </w:r>
      <w:r>
        <w:t xml:space="preserve">(Brill, 1995); John F. Wippel,</w:t>
      </w:r>
      <w:r>
        <w:t xml:space="preserve"> </w:t>
      </w:r>
      <w:r>
        <w:rPr>
          <w:i/>
          <w:iCs/>
        </w:rPr>
        <w:t xml:space="preserve">The Metaphysical Thought of Thomas Aquinas</w:t>
      </w:r>
      <w:r>
        <w:t xml:space="preserve"> </w:t>
      </w:r>
      <w:r>
        <w:t xml:space="preserve">(Catholic University of America Press, 2000); Fran O’Rourke,</w:t>
      </w:r>
      <w:r>
        <w:t xml:space="preserve"> </w:t>
      </w:r>
      <w:r>
        <w:rPr>
          <w:i/>
          <w:iCs/>
        </w:rPr>
        <w:t xml:space="preserve">Pseudo-Dionysius and the Metaphysics of Aquinas</w:t>
      </w:r>
      <w:r>
        <w:t xml:space="preserve"> </w:t>
      </w:r>
      <w:r>
        <w:t xml:space="preserve">(Brill, 1992; later Notre Dame edition); Gregory P. Rocca,</w:t>
      </w:r>
      <w:r>
        <w:t xml:space="preserve"> </w:t>
      </w:r>
      <w:r>
        <w:rPr>
          <w:i/>
          <w:iCs/>
        </w:rPr>
        <w:t xml:space="preserve">Speaking the Incomprehensible God</w:t>
      </w:r>
      <w:r>
        <w:t xml:space="preserve"> </w:t>
      </w:r>
      <w:r>
        <w:t xml:space="preserve">(Catholic University of America Press, 2004). Te Velde/Wippel can challenge reductions of participation to a mere external relation; O’Rourke can test Dionysian continuity; Rocca can separate causal naming from predicative equivalence. These are questions for those works, not findings attributed to unread pages.</w:t>
      </w:r>
    </w:p>
    <w:bookmarkEnd w:id="238"/>
    <w:bookmarkEnd w:id="239"/>
    <w:p>
      <w:pPr>
        <w:pStyle w:val="Heading1"/>
      </w:pPr>
      <w:r>
        <w:t xml:space="preserve">Appendix G — reading-guide.md</w:t>
      </w:r>
    </w:p>
    <w:p>
      <w:pPr>
        <w:pStyle w:val="FirstParagraph"/>
      </w:pPr>
      <w:r>
        <w:t xml:space="preserve">Original research file: https:/​/​participation-​6o4.​pages.​dev/​research/​reading-​guide.​md</w:t>
      </w:r>
    </w:p>
    <w:bookmarkStart w:id="249" w:name="X76bbf5d6b7569961a0062f67039635a63138a29"/>
    <w:p>
      <w:pPr>
        <w:pStyle w:val="Heading2"/>
      </w:pPr>
      <w:r>
        <w:t xml:space="preserve">Reading the three investigations together</w:t>
      </w:r>
    </w:p>
    <w:p>
      <w:pPr>
        <w:pStyle w:val="FirstParagraph"/>
      </w:pPr>
      <w:r>
        <w:t xml:space="preserve">Revision: October 14, 2026.</w:t>
      </w:r>
    </w:p>
    <w:p>
      <w:pPr>
        <w:pStyle w:val="BodyText"/>
      </w:pPr>
      <w:r>
        <w:t xml:space="preserve">The three pages investigate a single problem in stages. How can created actuality come from God and genuinely belong to the creature? What further principles would establish simplicity, free creation, and non-receptive knowledge? How could that freedom have determinate intentional content while sustaining real creaturely action and fulfillment?</w:t>
      </w:r>
    </w:p>
    <w:p>
      <w:pPr>
        <w:pStyle w:val="BodyText"/>
      </w:pPr>
      <w:r>
        <w:t xml:space="preserve">The revision draws on the supplied</w:t>
      </w:r>
      <w:r>
        <w:t xml:space="preserve"> </w:t>
      </w:r>
      <w:r>
        <w:rPr>
          <w:i/>
          <w:iCs/>
        </w:rPr>
        <w:t xml:space="preserve">Being-First and Measured Manifestation: Definitive Synthetic Edition</w:t>
      </w:r>
      <w:r>
        <w:t xml:space="preserve"> </w:t>
      </w:r>
      <w:r>
        <w:t xml:space="preserve">and</w:t>
      </w:r>
      <w:r>
        <w:t xml:space="preserve"> </w:t>
      </w:r>
      <w:r>
        <w:rPr>
          <w:i/>
          <w:iCs/>
        </w:rPr>
        <w:t xml:space="preserve">Working Philosophical Toolkit: Final</w:t>
      </w:r>
      <w:r>
        <w:t xml:space="preserve">. These are constructive source manuscripts for this project. Using them does not convert their proposals into historical testimony or independently established metaphysical theorems. The existing source ledgers retain their consultation and edition qualifications.</w:t>
      </w:r>
    </w:p>
    <w:bookmarkStart w:id="240" w:name="five-recurring-questions"/>
    <w:p>
      <w:pPr>
        <w:pStyle w:val="Heading3"/>
      </w:pPr>
      <w:r>
        <w:t xml:space="preserve">Five recurring questions</w:t>
      </w:r>
    </w:p>
    <w:p>
      <w:pPr>
        <w:pStyle w:val="Compact"/>
        <w:numPr>
          <w:ilvl w:val="0"/>
          <w:numId w:val="1011"/>
        </w:numPr>
      </w:pPr>
      <w:r>
        <w:rPr>
          <w:b/>
          <w:bCs/>
        </w:rPr>
        <w:t xml:space="preserve">Reality:</w:t>
      </w:r>
      <w:r>
        <w:t xml:space="preserve"> </w:t>
      </w:r>
      <w:r>
        <w:t xml:space="preserve">What differs, what realizes that difference, and what makes the subject one?</w:t>
      </w:r>
    </w:p>
    <w:p>
      <w:pPr>
        <w:pStyle w:val="Compact"/>
        <w:numPr>
          <w:ilvl w:val="0"/>
          <w:numId w:val="1011"/>
        </w:numPr>
      </w:pPr>
      <w:r>
        <w:rPr>
          <w:b/>
          <w:bCs/>
        </w:rPr>
        <w:t xml:space="preserve">Explanation:</w:t>
      </w:r>
      <w:r>
        <w:t xml:space="preserve"> </w:t>
      </w:r>
      <w:r>
        <w:t xml:space="preserve">What explains what, through which relation and in which respect?</w:t>
      </w:r>
    </w:p>
    <w:p>
      <w:pPr>
        <w:pStyle w:val="Compact"/>
        <w:numPr>
          <w:ilvl w:val="0"/>
          <w:numId w:val="1011"/>
        </w:numPr>
      </w:pPr>
      <w:r>
        <w:rPr>
          <w:b/>
          <w:bCs/>
        </w:rPr>
        <w:t xml:space="preserve">Possibility and agency:</w:t>
      </w:r>
      <w:r>
        <w:t xml:space="preserve"> </w:t>
      </w:r>
      <w:r>
        <w:t xml:space="preserve">What could genuinely differ, what makes alternatives fitting, and who directs the actual action?</w:t>
      </w:r>
    </w:p>
    <w:p>
      <w:pPr>
        <w:pStyle w:val="Compact"/>
        <w:numPr>
          <w:ilvl w:val="0"/>
          <w:numId w:val="1011"/>
        </w:numPr>
      </w:pPr>
      <w:r>
        <w:rPr>
          <w:b/>
          <w:bCs/>
        </w:rPr>
        <w:t xml:space="preserve">Disclosure:</w:t>
      </w:r>
      <w:r>
        <w:t xml:space="preserve"> </w:t>
      </w:r>
      <w:r>
        <w:t xml:space="preserve">What is expressed, what warrants knowledge of it, and how far does that warrant extend?</w:t>
      </w:r>
    </w:p>
    <w:p>
      <w:pPr>
        <w:pStyle w:val="Compact"/>
        <w:numPr>
          <w:ilvl w:val="0"/>
          <w:numId w:val="1011"/>
        </w:numPr>
      </w:pPr>
      <w:r>
        <w:rPr>
          <w:b/>
          <w:bCs/>
        </w:rPr>
        <w:t xml:space="preserve">Fulfillment:</w:t>
      </w:r>
      <w:r>
        <w:t xml:space="preserve"> </w:t>
      </w:r>
      <w:r>
        <w:t xml:space="preserve">What good is appropriate to the subject, what impedes it, and what would perfect it?</w:t>
      </w:r>
    </w:p>
    <w:p>
      <w:pPr>
        <w:pStyle w:val="FirstParagraph"/>
      </w:pPr>
      <w:r>
        <w:t xml:space="preserve">These are useful analytical jobs, not five demonstrated ontological primitives. The five families of symbols in Part I have a different purpose: they retain information needed by one conditional formal reconstruction. Sharing the number five establishes no identity between the toolkit and that model.</w:t>
      </w:r>
    </w:p>
    <w:p>
      <w:pPr>
        <w:pStyle w:val="BodyText"/>
      </w:pPr>
      <w:r>
        <w:t xml:space="preserve">Keep the relation, respect, modal force, and warrant explicit. Causation, constitution, dependence, truthmaking, cognitive access, and intentional direction are different explanatory relations unless an argument establishes their reduction.</w:t>
      </w:r>
    </w:p>
    <w:bookmarkEnd w:id="240"/>
    <w:bookmarkStart w:id="241" w:name="participation-connects-the-questions"/>
    <w:p>
      <w:pPr>
        <w:pStyle w:val="Heading3"/>
      </w:pPr>
      <w:r>
        <w:t xml:space="preserve">Participation connects the questions</w:t>
      </w:r>
    </w:p>
    <w:p>
      <w:pPr>
        <w:pStyle w:val="FirstParagraph"/>
      </w:pPr>
      <w:r>
        <w:t xml:space="preserve">Participation is real, dependent possession of received actuality or perfection according to the participant’s mode. Identify the recipient, what it possesses, its source, its mode, and the dependence. Receiving actuality does not turn the recipient into an appearance. Genuine possession does not make it independent.</w:t>
      </w:r>
    </w:p>
    <w:p>
      <w:pPr>
        <w:pStyle w:val="BodyText"/>
      </w:pPr>
      <w:r>
        <w:t xml:space="preserve">Expression, agency, and finality require additional bridges. A received power can remain unexercised. An actual likeness can remain unrecognized. A subject’s origin does not by itself establish its fitting end. The added principles explain how participation can become productive action, warranted disclosure, and fulfillment without building those conclusions into its definition.</w:t>
      </w:r>
    </w:p>
    <w:bookmarkEnd w:id="241"/>
    <w:bookmarkStart w:id="242" w:name="the-major-passages-and-their-burdens"/>
    <w:p>
      <w:pPr>
        <w:pStyle w:val="Heading3"/>
      </w:pPr>
      <w:r>
        <w:t xml:space="preserve">The major passages and their burdens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Passage</w:t>
            </w:r>
          </w:p>
        </w:tc>
        <w:tc>
          <w:tcPr>
            <w:tcW w:type="dxa" w:w="2749"/>
            <w:shd w:fill="EAE5DA"/>
          </w:tcPr>
          <w:p>
            <w:pPr>
              <w:pStyle w:val="BodyText"/>
              <w:keepNext w:val="0"/>
              <w:spacing w:after="80" w:line="252" w:lineRule="auto"/>
              <w:jc w:val="left"/>
            </w:pPr>
            <w:r>
              <w:rPr>
                <w:rFonts w:ascii="Calibri" w:hAnsi="Calibri"/>
                <w:b/>
                <w:sz w:val="17"/>
              </w:rPr>
              <w:t xml:space="preserve">Positive explanation</w:t>
            </w:r>
          </w:p>
        </w:tc>
        <w:tc>
          <w:tcPr>
            <w:tcW w:type="dxa" w:w="2749"/>
            <w:shd w:fill="EAE5DA"/>
          </w:tcPr>
          <w:p>
            <w:pPr>
              <w:pStyle w:val="BodyText"/>
              <w:keepNext w:val="0"/>
              <w:spacing w:after="80" w:line="252" w:lineRule="auto"/>
              <w:jc w:val="left"/>
            </w:pPr>
            <w:r>
              <w:rPr>
                <w:rFonts w:ascii="Calibri" w:hAnsi="Calibri"/>
                <w:b/>
                <w:sz w:val="17"/>
              </w:rPr>
              <w:t xml:space="preserve">Indispensable addition</w:t>
            </w:r>
          </w:p>
        </w:tc>
        <w:tc>
          <w:tcPr>
            <w:tcW w:type="dxa" w:w="2749"/>
            <w:shd w:fill="EAE5DA"/>
          </w:tcPr>
          <w:p>
            <w:pPr>
              <w:pStyle w:val="BodyText"/>
              <w:keepNext w:val="0"/>
              <w:spacing w:after="80" w:line="252" w:lineRule="auto"/>
              <w:jc w:val="left"/>
            </w:pPr>
            <w:r>
              <w:rPr>
                <w:rFonts w:ascii="Calibri" w:hAnsi="Calibri"/>
                <w:b/>
                <w:sz w:val="17"/>
              </w:rPr>
              <w:t xml:space="preserve">Strong rival or remaining burden</w:t>
            </w:r>
          </w:p>
        </w:tc>
      </w:tr>
      <w:tr>
        <w:tc>
          <w:tcPr>
            <w:tcW w:type="dxa" w:w="1689"/>
          </w:tcPr>
          <w:p>
            <w:pPr>
              <w:pStyle w:val="BodyText"/>
              <w:keepNext w:val="0"/>
              <w:spacing w:after="80" w:line="252" w:lineRule="auto"/>
              <w:jc w:val="left"/>
            </w:pPr>
            <w:r>
              <w:rPr>
                <w:rFonts w:ascii="Calibri" w:hAnsi="Calibri"/>
                <w:sz w:val="17"/>
              </w:rPr>
              <w:t xml:space="preserve">Received actuality → creaturely possession</w:t>
            </w:r>
          </w:p>
        </w:tc>
        <w:tc>
          <w:tcPr>
            <w:tcW w:type="dxa" w:w="2749"/>
          </w:tcPr>
          <w:p>
            <w:pPr>
              <w:pStyle w:val="BodyText"/>
              <w:keepNext w:val="0"/>
              <w:spacing w:after="80" w:line="252" w:lineRule="auto"/>
              <w:jc w:val="left"/>
            </w:pPr>
            <w:r>
              <w:rPr>
                <w:rFonts w:ascii="Calibri" w:hAnsi="Calibri"/>
                <w:sz w:val="17"/>
              </w:rPr>
              <w:t xml:space="preserve">The perfection is actual in the recipient; dependence concerns its source.</w:t>
            </w:r>
          </w:p>
        </w:tc>
        <w:tc>
          <w:tcPr>
            <w:tcW w:type="dxa" w:w="2749"/>
          </w:tcPr>
          <w:p>
            <w:pPr>
              <w:pStyle w:val="BodyText"/>
              <w:keepNext w:val="0"/>
              <w:spacing w:after="80" w:line="252" w:lineRule="auto"/>
              <w:jc w:val="left"/>
            </w:pPr>
            <w:r>
              <w:rPr>
                <w:rFonts w:ascii="Calibri" w:hAnsi="Calibri"/>
                <w:sz w:val="17"/>
              </w:rPr>
              <w:t xml:space="preserve">A realist account of realization and the stated causal-dependence bridge.</w:t>
            </w:r>
          </w:p>
        </w:tc>
        <w:tc>
          <w:tcPr>
            <w:tcW w:type="dxa" w:w="2749"/>
          </w:tcPr>
          <w:p>
            <w:pPr>
              <w:pStyle w:val="BodyText"/>
              <w:keepNext w:val="0"/>
              <w:spacing w:after="80" w:line="252" w:lineRule="auto"/>
              <w:jc w:val="left"/>
            </w:pPr>
            <w:r>
              <w:rPr>
                <w:rFonts w:ascii="Calibri" w:hAnsi="Calibri"/>
                <w:sz w:val="17"/>
              </w:rPr>
              <w:t xml:space="preserve">An ontology in which creatures are merely appearances rather than distinct bearers.</w:t>
            </w:r>
          </w:p>
        </w:tc>
      </w:tr>
      <w:tr>
        <w:tc>
          <w:tcPr>
            <w:tcW w:type="dxa" w:w="1689"/>
          </w:tcPr>
          <w:p>
            <w:pPr>
              <w:pStyle w:val="BodyText"/>
              <w:keepNext w:val="0"/>
              <w:spacing w:after="80" w:line="252" w:lineRule="auto"/>
              <w:jc w:val="left"/>
            </w:pPr>
            <w:r>
              <w:rPr>
                <w:rFonts w:ascii="Calibri" w:hAnsi="Calibri"/>
                <w:sz w:val="17"/>
              </w:rPr>
              <w:t xml:space="preserve">Causation → expressive likeness</w:t>
            </w:r>
          </w:p>
        </w:tc>
        <w:tc>
          <w:tcPr>
            <w:tcW w:type="dxa" w:w="2749"/>
          </w:tcPr>
          <w:p>
            <w:pPr>
              <w:pStyle w:val="BodyText"/>
              <w:keepNext w:val="0"/>
              <w:spacing w:after="80" w:line="252" w:lineRule="auto"/>
              <w:jc w:val="left"/>
            </w:pPr>
            <w:r>
              <w:rPr>
                <w:rFonts w:ascii="Calibri" w:hAnsi="Calibri"/>
                <w:sz w:val="17"/>
              </w:rPr>
              <w:t xml:space="preserve">The effect’s intelligible formation corresponds to positive content in its ultimate source.</w:t>
            </w:r>
          </w:p>
        </w:tc>
        <w:tc>
          <w:tcPr>
            <w:tcW w:type="dxa" w:w="2749"/>
          </w:tcPr>
          <w:p>
            <w:pPr>
              <w:pStyle w:val="BodyText"/>
              <w:keepNext w:val="0"/>
              <w:spacing w:after="80" w:line="252" w:lineRule="auto"/>
              <w:jc w:val="left"/>
            </w:pPr>
            <w:r>
              <w:rPr>
                <w:rFonts w:ascii="Calibri" w:hAnsi="Calibri"/>
                <w:sz w:val="17"/>
              </w:rPr>
              <w:t xml:space="preserve">Causal adequacy for independently identified perfection-content; exemplarism offers a richer account.</w:t>
            </w:r>
          </w:p>
        </w:tc>
        <w:tc>
          <w:tcPr>
            <w:tcW w:type="dxa" w:w="2749"/>
          </w:tcPr>
          <w:p>
            <w:pPr>
              <w:pStyle w:val="BodyText"/>
              <w:keepNext w:val="0"/>
              <w:spacing w:after="80" w:line="252" w:lineRule="auto"/>
              <w:jc w:val="left"/>
            </w:pPr>
            <w:r>
              <w:rPr>
                <w:rFonts w:ascii="Calibri" w:hAnsi="Calibri"/>
                <w:sz w:val="17"/>
              </w:rPr>
              <w:t xml:space="preserve">A productive source that causes cognition without intrinsically understanding.</w:t>
            </w:r>
          </w:p>
        </w:tc>
      </w:tr>
      <w:tr>
        <w:tc>
          <w:tcPr>
            <w:tcW w:type="dxa" w:w="1689"/>
          </w:tcPr>
          <w:p>
            <w:pPr>
              <w:pStyle w:val="BodyText"/>
              <w:keepNext w:val="0"/>
              <w:spacing w:after="80" w:line="252" w:lineRule="auto"/>
              <w:jc w:val="left"/>
            </w:pPr>
            <w:r>
              <w:rPr>
                <w:rFonts w:ascii="Calibri" w:hAnsi="Calibri"/>
                <w:sz w:val="17"/>
              </w:rPr>
              <w:t xml:space="preserve">Underivation → noncomposition</w:t>
            </w:r>
          </w:p>
        </w:tc>
        <w:tc>
          <w:tcPr>
            <w:tcW w:type="dxa" w:w="2749"/>
          </w:tcPr>
          <w:p>
            <w:pPr>
              <w:pStyle w:val="BodyText"/>
              <w:keepNext w:val="0"/>
              <w:spacing w:after="80" w:line="252" w:lineRule="auto"/>
              <w:jc w:val="left"/>
            </w:pPr>
            <w:r>
              <w:rPr>
                <w:rFonts w:ascii="Calibri" w:hAnsi="Calibri"/>
                <w:sz w:val="17"/>
              </w:rPr>
              <w:t xml:space="preserve">A whole cannot be absolutely underived if its constituents explain the actuality of that whole.</w:t>
            </w:r>
          </w:p>
        </w:tc>
        <w:tc>
          <w:tcPr>
            <w:tcW w:type="dxa" w:w="2749"/>
          </w:tcPr>
          <w:p>
            <w:pPr>
              <w:pStyle w:val="BodyText"/>
              <w:keepNext w:val="0"/>
              <w:spacing w:after="80" w:line="252" w:lineRule="auto"/>
              <w:jc w:val="left"/>
            </w:pPr>
            <w:r>
              <w:rPr>
                <w:rFonts w:ascii="Calibri" w:hAnsi="Calibri"/>
                <w:sz w:val="17"/>
              </w:rPr>
              <w:t xml:space="preserve">The independently interpreted constitution–dependence principle.</w:t>
            </w:r>
          </w:p>
        </w:tc>
        <w:tc>
          <w:tcPr>
            <w:tcW w:type="dxa" w:w="2749"/>
          </w:tcPr>
          <w:p>
            <w:pPr>
              <w:pStyle w:val="BodyText"/>
              <w:keepNext w:val="0"/>
              <w:spacing w:after="80" w:line="252" w:lineRule="auto"/>
              <w:jc w:val="left"/>
            </w:pPr>
            <w:r>
              <w:rPr>
                <w:rFonts w:ascii="Calibri" w:hAnsi="Calibri"/>
                <w:sz w:val="17"/>
              </w:rPr>
              <w:t xml:space="preserve">Brute composite unity, or a whole-priority ontology denying that proper constituents ground the whole’s actuality.</w:t>
            </w:r>
          </w:p>
        </w:tc>
      </w:tr>
      <w:tr>
        <w:tc>
          <w:tcPr>
            <w:tcW w:type="dxa" w:w="1689"/>
          </w:tcPr>
          <w:p>
            <w:pPr>
              <w:pStyle w:val="BodyText"/>
              <w:keepNext w:val="0"/>
              <w:spacing w:after="80" w:line="252" w:lineRule="auto"/>
              <w:jc w:val="left"/>
            </w:pPr>
            <w:r>
              <w:rPr>
                <w:rFonts w:ascii="Calibri" w:hAnsi="Calibri"/>
                <w:sz w:val="17"/>
              </w:rPr>
              <w:t xml:space="preserve">Negative simplicity exclusions → positive plenitude</w:t>
            </w:r>
          </w:p>
        </w:tc>
        <w:tc>
          <w:tcPr>
            <w:tcW w:type="dxa" w:w="2749"/>
          </w:tcPr>
          <w:p>
            <w:pPr>
              <w:pStyle w:val="BodyText"/>
              <w:keepNext w:val="0"/>
              <w:spacing w:after="80" w:line="252" w:lineRule="auto"/>
              <w:jc w:val="left"/>
            </w:pPr>
            <w:r>
              <w:rPr>
                <w:rFonts w:ascii="Calibri" w:hAnsi="Calibri"/>
                <w:sz w:val="17"/>
              </w:rPr>
              <w:t xml:space="preserve">An independently warranted perfection belongs without reception from a more basic actualizer.</w:t>
            </w:r>
          </w:p>
        </w:tc>
        <w:tc>
          <w:tcPr>
            <w:tcW w:type="dxa" w:w="2749"/>
          </w:tcPr>
          <w:p>
            <w:pPr>
              <w:pStyle w:val="BodyText"/>
              <w:keepNext w:val="0"/>
              <w:spacing w:after="80" w:line="252" w:lineRule="auto"/>
              <w:jc w:val="left"/>
            </w:pPr>
            <w:r>
              <w:rPr>
                <w:rFonts w:ascii="Calibri" w:hAnsi="Calibri"/>
                <w:sz w:val="17"/>
              </w:rPr>
              <w:t xml:space="preserve">Arguments establishing the positive perfections themselves.</w:t>
            </w:r>
          </w:p>
        </w:tc>
        <w:tc>
          <w:tcPr>
            <w:tcW w:type="dxa" w:w="2749"/>
          </w:tcPr>
          <w:p>
            <w:pPr>
              <w:pStyle w:val="BodyText"/>
              <w:keepNext w:val="0"/>
              <w:spacing w:after="80" w:line="252" w:lineRule="auto"/>
              <w:jc w:val="left"/>
            </w:pPr>
            <w:r>
              <w:rPr>
                <w:rFonts w:ascii="Calibri" w:hAnsi="Calibri"/>
                <w:sz w:val="17"/>
              </w:rPr>
              <w:t xml:space="preserve">A noncomposite but insufficiently characterized source.</w:t>
            </w:r>
          </w:p>
        </w:tc>
      </w:tr>
      <w:tr>
        <w:tc>
          <w:tcPr>
            <w:tcW w:type="dxa" w:w="1689"/>
          </w:tcPr>
          <w:p>
            <w:pPr>
              <w:pStyle w:val="BodyText"/>
              <w:keepNext w:val="0"/>
              <w:spacing w:after="80" w:line="252" w:lineRule="auto"/>
              <w:jc w:val="left"/>
            </w:pPr>
            <w:r>
              <w:rPr>
                <w:rFonts w:ascii="Calibri" w:hAnsi="Calibri"/>
                <w:sz w:val="17"/>
              </w:rPr>
              <w:t xml:space="preserve">Non-exhaustion → free creation</w:t>
            </w:r>
          </w:p>
        </w:tc>
        <w:tc>
          <w:tcPr>
            <w:tcW w:type="dxa" w:w="2749"/>
          </w:tcPr>
          <w:p>
            <w:pPr>
              <w:pStyle w:val="BodyText"/>
              <w:keepNext w:val="0"/>
              <w:spacing w:after="80" w:line="252" w:lineRule="auto"/>
              <w:jc w:val="left"/>
            </w:pPr>
            <w:r>
              <w:rPr>
                <w:rFonts w:ascii="Calibri" w:hAnsi="Calibri"/>
                <w:sz w:val="17"/>
              </w:rPr>
              <w:t xml:space="preserve">Complete goodness can be expressed without being repaired or completed by expression.</w:t>
            </w:r>
          </w:p>
        </w:tc>
        <w:tc>
          <w:tcPr>
            <w:tcW w:type="dxa" w:w="2749"/>
          </w:tcPr>
          <w:p>
            <w:pPr>
              <w:pStyle w:val="BodyText"/>
              <w:keepNext w:val="0"/>
              <w:spacing w:after="80" w:line="252" w:lineRule="auto"/>
              <w:jc w:val="left"/>
            </w:pPr>
            <w:r>
              <w:rPr>
                <w:rFonts w:ascii="Calibri" w:hAnsi="Calibri"/>
                <w:sz w:val="17"/>
              </w:rPr>
              <w:t xml:space="preserve">Genuine alternatives, rational agency, and voluntary control.</w:t>
            </w:r>
          </w:p>
        </w:tc>
        <w:tc>
          <w:tcPr>
            <w:tcW w:type="dxa" w:w="2749"/>
          </w:tcPr>
          <w:p>
            <w:pPr>
              <w:pStyle w:val="BodyText"/>
              <w:keepNext w:val="0"/>
              <w:spacing w:after="80" w:line="252" w:lineRule="auto"/>
              <w:jc w:val="left"/>
            </w:pPr>
            <w:r>
              <w:rPr>
                <w:rFonts w:ascii="Calibri" w:hAnsi="Calibri"/>
                <w:sz w:val="17"/>
              </w:rPr>
              <w:t xml:space="preserve">An inexhaustible source that necessarily produces one finite world.</w:t>
            </w:r>
          </w:p>
        </w:tc>
      </w:tr>
      <w:tr>
        <w:tc>
          <w:tcPr>
            <w:tcW w:type="dxa" w:w="1689"/>
          </w:tcPr>
          <w:p>
            <w:pPr>
              <w:pStyle w:val="BodyText"/>
              <w:keepNext w:val="0"/>
              <w:spacing w:after="80" w:line="252" w:lineRule="auto"/>
              <w:jc w:val="left"/>
            </w:pPr>
            <w:r>
              <w:rPr>
                <w:rFonts w:ascii="Calibri" w:hAnsi="Calibri"/>
                <w:sz w:val="17"/>
              </w:rPr>
              <w:t xml:space="preserve">Invariant intrinsic actuality → determinate intention</w:t>
            </w:r>
          </w:p>
        </w:tc>
        <w:tc>
          <w:tcPr>
            <w:tcW w:type="dxa" w:w="2749"/>
          </w:tcPr>
          <w:p>
            <w:pPr>
              <w:pStyle w:val="BodyText"/>
              <w:keepNext w:val="0"/>
              <w:spacing w:after="80" w:line="252" w:lineRule="auto"/>
              <w:jc w:val="left"/>
            </w:pPr>
            <w:r>
              <w:rPr>
                <w:rFonts w:ascii="Calibri" w:hAnsi="Calibri"/>
                <w:sz w:val="17"/>
              </w:rPr>
              <w:t xml:space="preserve">The proposed difference belongs to the complete intentional action toward understood content.</w:t>
            </w:r>
          </w:p>
        </w:tc>
        <w:tc>
          <w:tcPr>
            <w:tcW w:type="dxa" w:w="2749"/>
          </w:tcPr>
          <w:p>
            <w:pPr>
              <w:pStyle w:val="BodyText"/>
              <w:keepNext w:val="0"/>
              <w:spacing w:after="80" w:line="252" w:lineRule="auto"/>
              <w:jc w:val="left"/>
            </w:pPr>
            <w:r>
              <w:rPr>
                <w:rFonts w:ascii="Calibri" w:hAnsi="Calibri"/>
                <w:sz w:val="17"/>
              </w:rPr>
              <w:t xml:space="preserve">A defended relational ontology of actual intentional direction.</w:t>
            </w:r>
          </w:p>
        </w:tc>
        <w:tc>
          <w:tcPr>
            <w:tcW w:type="dxa" w:w="2749"/>
          </w:tcPr>
          <w:p>
            <w:pPr>
              <w:pStyle w:val="BodyText"/>
              <w:keepNext w:val="0"/>
              <w:spacing w:after="80" w:line="252" w:lineRule="auto"/>
              <w:jc w:val="left"/>
            </w:pPr>
            <w:r>
              <w:rPr>
                <w:rFonts w:ascii="Calibri" w:hAnsi="Calibri"/>
                <w:sz w:val="17"/>
              </w:rPr>
              <w:t xml:space="preserve">Different intrinsic intentions across alternatives without parts or temporal acquisition.</w:t>
            </w:r>
          </w:p>
        </w:tc>
      </w:tr>
      <w:tr>
        <w:tc>
          <w:tcPr>
            <w:tcW w:type="dxa" w:w="1689"/>
          </w:tcPr>
          <w:p>
            <w:pPr>
              <w:pStyle w:val="BodyText"/>
              <w:keepNext w:val="0"/>
              <w:spacing w:after="80" w:line="252" w:lineRule="auto"/>
              <w:jc w:val="left"/>
            </w:pPr>
            <w:r>
              <w:rPr>
                <w:rFonts w:ascii="Calibri" w:hAnsi="Calibri"/>
                <w:sz w:val="17"/>
              </w:rPr>
              <w:t xml:space="preserve">Intelligent production → knowledge of its effect</w:t>
            </w:r>
          </w:p>
        </w:tc>
        <w:tc>
          <w:tcPr>
            <w:tcW w:type="dxa" w:w="2749"/>
          </w:tcPr>
          <w:p>
            <w:pPr>
              <w:pStyle w:val="BodyText"/>
              <w:keepNext w:val="0"/>
              <w:spacing w:after="80" w:line="252" w:lineRule="auto"/>
              <w:jc w:val="left"/>
            </w:pPr>
            <w:r>
              <w:rPr>
                <w:rFonts w:ascii="Calibri" w:hAnsi="Calibri"/>
                <w:sz w:val="17"/>
              </w:rPr>
              <w:t xml:space="preserve">Awareness of actual execution and its assured efficacy discloses what that execution produces.</w:t>
            </w:r>
          </w:p>
        </w:tc>
        <w:tc>
          <w:tcPr>
            <w:tcW w:type="dxa" w:w="2749"/>
          </w:tcPr>
          <w:p>
            <w:pPr>
              <w:pStyle w:val="BodyText"/>
              <w:keepNext w:val="0"/>
              <w:spacing w:after="80" w:line="252" w:lineRule="auto"/>
              <w:jc w:val="left"/>
            </w:pPr>
            <w:r>
              <w:rPr>
                <w:rFonts w:ascii="Calibri" w:hAnsi="Calibri"/>
                <w:sz w:val="17"/>
              </w:rPr>
              <w:t xml:space="preserve">Adequate, warranted, non-receptive awareness of the actual action.</w:t>
            </w:r>
          </w:p>
        </w:tc>
        <w:tc>
          <w:tcPr>
            <w:tcW w:type="dxa" w:w="2749"/>
          </w:tcPr>
          <w:p>
            <w:pPr>
              <w:pStyle w:val="BodyText"/>
              <w:keepNext w:val="0"/>
              <w:spacing w:after="80" w:line="252" w:lineRule="auto"/>
              <w:jc w:val="left"/>
            </w:pPr>
            <w:r>
              <w:rPr>
                <w:rFonts w:ascii="Calibri" w:hAnsi="Calibri"/>
                <w:sz w:val="17"/>
              </w:rPr>
              <w:t xml:space="preserve">Knowing every possible plan without knowing which action actually occurs.</w:t>
            </w:r>
          </w:p>
        </w:tc>
      </w:tr>
      <w:tr>
        <w:tc>
          <w:tcPr>
            <w:tcW w:type="dxa" w:w="1689"/>
          </w:tcPr>
          <w:p>
            <w:pPr>
              <w:pStyle w:val="BodyText"/>
              <w:keepNext w:val="0"/>
              <w:spacing w:after="80" w:line="252" w:lineRule="auto"/>
              <w:jc w:val="left"/>
            </w:pPr>
            <w:r>
              <w:rPr>
                <w:rFonts w:ascii="Calibri" w:hAnsi="Calibri"/>
                <w:sz w:val="17"/>
              </w:rPr>
              <w:t xml:space="preserve">Sustained power → secondary agency</w:t>
            </w:r>
          </w:p>
        </w:tc>
        <w:tc>
          <w:tcPr>
            <w:tcW w:type="dxa" w:w="2749"/>
          </w:tcPr>
          <w:p>
            <w:pPr>
              <w:pStyle w:val="BodyText"/>
              <w:keepNext w:val="0"/>
              <w:spacing w:after="80" w:line="252" w:lineRule="auto"/>
              <w:jc w:val="left"/>
            </w:pPr>
            <w:r>
              <w:rPr>
                <w:rFonts w:ascii="Calibri" w:hAnsi="Calibri"/>
                <w:sz w:val="17"/>
              </w:rPr>
              <w:t xml:space="preserve">A creature exercises a productive power that remains dependent on its source.</w:t>
            </w:r>
          </w:p>
        </w:tc>
        <w:tc>
          <w:tcPr>
            <w:tcW w:type="dxa" w:w="2749"/>
          </w:tcPr>
          <w:p>
            <w:pPr>
              <w:pStyle w:val="BodyText"/>
              <w:keepNext w:val="0"/>
              <w:spacing w:after="80" w:line="252" w:lineRule="auto"/>
              <w:jc w:val="left"/>
            </w:pPr>
            <w:r>
              <w:rPr>
                <w:rFonts w:ascii="Calibri" w:hAnsi="Calibri"/>
                <w:sz w:val="17"/>
              </w:rPr>
              <w:t xml:space="preserve">The efficacy and authorship of the creature’s own exercise.</w:t>
            </w:r>
          </w:p>
        </w:tc>
        <w:tc>
          <w:tcPr>
            <w:tcW w:type="dxa" w:w="2749"/>
          </w:tcPr>
          <w:p>
            <w:pPr>
              <w:pStyle w:val="BodyText"/>
              <w:keepNext w:val="0"/>
              <w:spacing w:after="80" w:line="252" w:lineRule="auto"/>
              <w:jc w:val="left"/>
            </w:pPr>
            <w:r>
              <w:rPr>
                <w:rFonts w:ascii="Calibri" w:hAnsi="Calibri"/>
                <w:sz w:val="17"/>
              </w:rPr>
              <w:t xml:space="preserve">Occasionalism: divine support replaces creaturely production.</w:t>
            </w:r>
          </w:p>
        </w:tc>
      </w:tr>
      <w:tr>
        <w:tc>
          <w:tcPr>
            <w:tcW w:type="dxa" w:w="1689"/>
          </w:tcPr>
          <w:p>
            <w:pPr>
              <w:pStyle w:val="BodyText"/>
              <w:keepNext w:val="0"/>
              <w:spacing w:after="80" w:line="252" w:lineRule="auto"/>
              <w:jc w:val="left"/>
            </w:pPr>
            <w:r>
              <w:rPr>
                <w:rFonts w:ascii="Calibri" w:hAnsi="Calibri"/>
                <w:sz w:val="17"/>
              </w:rPr>
              <w:t xml:space="preserve">Causal presence → knowledge of permitted choices</w:t>
            </w:r>
          </w:p>
        </w:tc>
        <w:tc>
          <w:tcPr>
            <w:tcW w:type="dxa" w:w="2749"/>
          </w:tcPr>
          <w:p>
            <w:pPr>
              <w:pStyle w:val="BodyText"/>
              <w:keepNext w:val="0"/>
              <w:spacing w:after="80" w:line="252" w:lineRule="auto"/>
              <w:jc w:val="left"/>
            </w:pPr>
            <w:r>
              <w:rPr>
                <w:rFonts w:ascii="Calibri" w:hAnsi="Calibri"/>
                <w:sz w:val="17"/>
              </w:rPr>
              <w:t xml:space="preserve">The proposed source has cognitive access to the choice as actually exercised.</w:t>
            </w:r>
          </w:p>
        </w:tc>
        <w:tc>
          <w:tcPr>
            <w:tcW w:type="dxa" w:w="2749"/>
          </w:tcPr>
          <w:p>
            <w:pPr>
              <w:pStyle w:val="BodyText"/>
              <w:keepNext w:val="0"/>
              <w:spacing w:after="80" w:line="252" w:lineRule="auto"/>
              <w:jc w:val="left"/>
            </w:pPr>
            <w:r>
              <w:rPr>
                <w:rFonts w:ascii="Calibri" w:hAnsi="Calibri"/>
                <w:sz w:val="17"/>
              </w:rPr>
              <w:t xml:space="preserve">A positive account of non-receptive cognitive access; foreknowledge requires a further account of eternity or another defended basis.</w:t>
            </w:r>
          </w:p>
        </w:tc>
        <w:tc>
          <w:tcPr>
            <w:tcW w:type="dxa" w:w="2749"/>
          </w:tcPr>
          <w:p>
            <w:pPr>
              <w:pStyle w:val="BodyText"/>
              <w:keepNext w:val="0"/>
              <w:spacing w:after="80" w:line="252" w:lineRule="auto"/>
              <w:jc w:val="left"/>
            </w:pPr>
            <w:r>
              <w:rPr>
                <w:rFonts w:ascii="Calibri" w:hAnsi="Calibri"/>
                <w:sz w:val="17"/>
              </w:rPr>
              <w:t xml:space="preserve">Causal support without cognitive acquaintance; no complete omniscience follows merely from presence.</w:t>
            </w:r>
          </w:p>
        </w:tc>
      </w:tr>
      <w:tr>
        <w:tc>
          <w:tcPr>
            <w:tcW w:type="dxa" w:w="1689"/>
          </w:tcPr>
          <w:p>
            <w:pPr>
              <w:pStyle w:val="BodyText"/>
              <w:keepNext w:val="0"/>
              <w:spacing w:after="80" w:line="252" w:lineRule="auto"/>
              <w:jc w:val="left"/>
            </w:pPr>
            <w:r>
              <w:rPr>
                <w:rFonts w:ascii="Calibri" w:hAnsi="Calibri"/>
                <w:sz w:val="17"/>
              </w:rPr>
              <w:t xml:space="preserve">Participation → communion</w:t>
            </w:r>
          </w:p>
        </w:tc>
        <w:tc>
          <w:tcPr>
            <w:tcW w:type="dxa" w:w="2749"/>
          </w:tcPr>
          <w:p>
            <w:pPr>
              <w:pStyle w:val="BodyText"/>
              <w:keepNext w:val="0"/>
              <w:spacing w:after="80" w:line="252" w:lineRule="auto"/>
              <w:jc w:val="left"/>
            </w:pPr>
            <w:r>
              <w:rPr>
                <w:rFonts w:ascii="Calibri" w:hAnsi="Calibri"/>
                <w:sz w:val="17"/>
              </w:rPr>
              <w:t xml:space="preserve">Distinct persons genuinely know and love, rather than merely share a cause.</w:t>
            </w:r>
          </w:p>
        </w:tc>
        <w:tc>
          <w:tcPr>
            <w:tcW w:type="dxa" w:w="2749"/>
          </w:tcPr>
          <w:p>
            <w:pPr>
              <w:pStyle w:val="BodyText"/>
              <w:keepNext w:val="0"/>
              <w:spacing w:after="80" w:line="252" w:lineRule="auto"/>
              <w:jc w:val="left"/>
            </w:pPr>
            <w:r>
              <w:rPr>
                <w:rFonts w:ascii="Calibri" w:hAnsi="Calibri"/>
                <w:sz w:val="17"/>
              </w:rPr>
              <w:t xml:space="preserve">Personal capacities, fitting ends, and, for supernatural communion, revelation and grace.</w:t>
            </w:r>
          </w:p>
        </w:tc>
        <w:tc>
          <w:tcPr>
            <w:tcW w:type="dxa" w:w="2749"/>
          </w:tcPr>
          <w:p>
            <w:pPr>
              <w:pStyle w:val="BodyText"/>
              <w:keepNext w:val="0"/>
              <w:spacing w:after="80" w:line="252" w:lineRule="auto"/>
              <w:jc w:val="left"/>
            </w:pPr>
            <w:r>
              <w:rPr>
                <w:rFonts w:ascii="Calibri" w:hAnsi="Calibri"/>
                <w:sz w:val="17"/>
              </w:rPr>
              <w:t xml:space="preserve">Dependence without recognition, love, or personal fulfillment.</w:t>
            </w:r>
          </w:p>
        </w:tc>
      </w:tr>
    </w:tbl>
    <w:p>
      <w:pPr>
        <w:pStyle w:val="BodyText"/>
      </w:pPr>
      <w:r>
        <w:t xml:space="preserve">Nonconstitutive real distinctions remain outside the immediate scope of the noncomposition theorem. These are conditional arguments with identifiable work to do. A countermodel shows why a missing bridge matters; it does not show that every historical defense of that bridge fails. The computational witnesses test stated interpretations, not the philosophical truth of the whole ontology.</w:t>
      </w:r>
    </w:p>
    <w:bookmarkEnd w:id="242"/>
    <w:bookmarkStart w:id="243" w:name="a-concrete-test-for-finite-goods"/>
    <w:p>
      <w:pPr>
        <w:pStyle w:val="Heading3"/>
      </w:pPr>
      <w:r>
        <w:t xml:space="preserve">A concrete test for finite goods</w:t>
      </w:r>
    </w:p>
    <w:p>
      <w:pPr>
        <w:pStyle w:val="FirstParagraph"/>
      </w:pPr>
      <w:r>
        <w:t xml:space="preserve">Ask what happens when the alleged limitation is removed.</w:t>
      </w:r>
    </w:p>
    <w:p>
      <w:pPr>
        <w:pStyle w:val="Compact"/>
        <w:numPr>
          <w:ilvl w:val="0"/>
          <w:numId w:val="1012"/>
        </w:numPr>
      </w:pPr>
      <w:r>
        <w:rPr>
          <w:b/>
          <w:bCs/>
        </w:rPr>
        <w:t xml:space="preserve">Privation:</w:t>
      </w:r>
      <w:r>
        <w:t xml:space="preserve"> </w:t>
      </w:r>
      <w:r>
        <w:t xml:space="preserve">removing ignorance improves understanding.</w:t>
      </w:r>
    </w:p>
    <w:p>
      <w:pPr>
        <w:pStyle w:val="Compact"/>
        <w:numPr>
          <w:ilvl w:val="0"/>
          <w:numId w:val="1012"/>
        </w:numPr>
      </w:pPr>
      <w:r>
        <w:rPr>
          <w:b/>
          <w:bCs/>
        </w:rPr>
        <w:t xml:space="preserve">Constitutive finite condition:</w:t>
      </w:r>
      <w:r>
        <w:t xml:space="preserve"> </w:t>
      </w:r>
      <w:r>
        <w:t xml:space="preserve">removing succession abolishes a melody rather than producing the same melody more perfectly.</w:t>
      </w:r>
    </w:p>
    <w:p>
      <w:pPr>
        <w:pStyle w:val="Compact"/>
        <w:numPr>
          <w:ilvl w:val="0"/>
          <w:numId w:val="1012"/>
        </w:numPr>
      </w:pPr>
      <w:r>
        <w:rPr>
          <w:b/>
          <w:bCs/>
        </w:rPr>
        <w:t xml:space="preserve">Adverse occasion:</w:t>
      </w:r>
      <w:r>
        <w:t xml:space="preserve"> </w:t>
      </w:r>
      <w:r>
        <w:t xml:space="preserve">courage can be good in danger without making the danger good or justifying its manufacture.</w:t>
      </w:r>
    </w:p>
    <w:p>
      <w:pPr>
        <w:pStyle w:val="FirstParagraph"/>
      </w:pPr>
      <w:r>
        <w:t xml:space="preserve">This test supports positive analogy without transferring an entire creaturely mode into God. Grounding the good of learning does not require God to learn. It also protects moral seriousness: healing and forgiveness do not justify illness or injury. Fulfillment can remove defects while preserving the creature’s identity and particular goods.</w:t>
      </w:r>
    </w:p>
    <w:bookmarkEnd w:id="243"/>
    <w:bookmarkStart w:id="244" w:name="where-revelation-changes-the-warrant"/>
    <w:p>
      <w:pPr>
        <w:pStyle w:val="Heading3"/>
      </w:pPr>
      <w:r>
        <w:t xml:space="preserve">Where revelation changes the warrant</w:t>
      </w:r>
    </w:p>
    <w:p>
      <w:pPr>
        <w:pStyle w:val="FirstParagraph"/>
      </w:pPr>
      <w:r>
        <w:t xml:space="preserve">The natural grammar is preparatory. It does not discover the Trinity, the Incarnation, sacramental institution, grace, or beatific vision by manipulating its symbols. Revealed personal origins are not creaturely reception; the Son’s being from the Father does not make the divine essence received from a more basic actuality. The hypostatic union is not merely an intensified case of ordinary participation.</w:t>
      </w:r>
    </w:p>
    <w:p>
      <w:pPr>
        <w:pStyle w:val="BodyText"/>
      </w:pPr>
      <w:r>
        <w:t xml:space="preserve">The manuscript’s account of God as the All names plenitude considered as universal sourcehood, never God and creatures combined into a larger totality. It requires positive perfection and universal sourcehood as well as negative exclusions. The Pauline all-in-all is a further, revealed consummation. In 1 Corinthians 15:20–28, it belongs to resurrection, Christ’s reign, the defeat of death, and the kingdom handed to the Father. This contextual account follows the supplied manuscript; it is not a newly verified translation or a metaphysical deduction from six simplicity arguments. The verse alone does not settle universal salvation.</w:t>
      </w:r>
    </w:p>
    <w:p>
      <w:pPr>
        <w:pStyle w:val="BodyText"/>
      </w:pPr>
      <w:r>
        <w:t xml:space="preserve">The resulting positive thesis is:</w:t>
      </w:r>
      <w:r>
        <w:t xml:space="preserve"> </w:t>
      </w:r>
      <w:r>
        <w:rPr>
          <w:b/>
          <w:bCs/>
        </w:rPr>
        <w:t xml:space="preserve">creation can be fulfilled in God without completing God.</w:t>
      </w:r>
      <w:r>
        <w:t xml:space="preserve"> </w:t>
      </w:r>
      <w:r>
        <w:t xml:space="preserve">The creature’s transformation is real; divine fullness is not assembled from that transformation. Immediate communion need not become exhaustive comprehension or absorption.</w:t>
      </w:r>
    </w:p>
    <w:bookmarkEnd w:id="244"/>
    <w:bookmarkStart w:id="248" w:name="what-this-development-claims"/>
    <w:p>
      <w:pPr>
        <w:pStyle w:val="Heading3"/>
      </w:pPr>
      <w:r>
        <w:t xml:space="preserve">What this development claims</w:t>
      </w:r>
    </w:p>
    <w:p>
      <w:pPr>
        <w:pStyle w:val="FirstParagraph"/>
      </w:pPr>
      <w:r>
        <w:t xml:space="preserve">The contribution is a coordinated explanation of possession, origin, intention, disclosure, and fulfillment. It neither claims an earned seventh proof of simplicity nor introduces a new primitive under a new name. Its Newman-like development test asks whether the synthesis preserves doctrine’s governing type, conserves the earlier achievements, assimilates distinctions without hiding contradictions, and makes the sequence of arguments more intelligible. That is a methodological assessment, not ecclesial certification.</w:t>
      </w:r>
    </w:p>
    <w:p>
      <w:pPr>
        <w:pStyle w:val="BodyText"/>
      </w:pPr>
      <w:r>
        <w:t xml:space="preserve">For each significant conclusion, retain four lines: the proposed explanation; its indispensable bridge; the strongest surviving rival; what remains to be established. This permits a positive metaphysical proposal to have explanatory power without treating its promise as a completed demonstration.</w:t>
      </w:r>
    </w:p>
    <w:p>
      <w:pPr>
        <w:pStyle w:val="BodyText"/>
      </w:pPr>
      <w:r>
        <w:t xml:space="preserve">Read</w:t>
      </w:r>
      <w:r>
        <w:t xml:space="preserve"> </w:t>
      </w:r>
      <w:hyperlink r:id="rId245">
        <w:r>
          <w:rPr>
            <w:rStyle w:val="Hyperlink"/>
          </w:rPr>
          <w:t xml:space="preserve">Participation</w:t>
        </w:r>
      </w:hyperlink>
      <w:r>
        <w:t xml:space="preserve">,</w:t>
      </w:r>
      <w:r>
        <w:t xml:space="preserve"> </w:t>
      </w:r>
      <w:hyperlink r:id="rId246">
        <w:r>
          <w:rPr>
            <w:rStyle w:val="Hyperlink"/>
          </w:rPr>
          <w:t xml:space="preserve">Beyond Participation</w:t>
        </w:r>
      </w:hyperlink>
      <w:r>
        <w:t xml:space="preserve">, and</w:t>
      </w:r>
      <w:r>
        <w:t xml:space="preserve"> </w:t>
      </w:r>
      <w:hyperlink r:id="rId247">
        <w:r>
          <w:rPr>
            <w:rStyle w:val="Hyperlink"/>
          </w:rPr>
          <w:t xml:space="preserve">Divine Agency</w:t>
        </w:r>
      </w:hyperlink>
      <w:r>
        <w:t xml:space="preserve">.</w:t>
      </w:r>
    </w:p>
    <w:bookmarkEnd w:id="248"/>
    <w:bookmarkEnd w:id="249"/>
    <w:sectPr w:rsidR="00FC693F" w:rsidRPr="0006063C" w:rsidSect="00034616">
      <w:headerReference w:type="default" r:id="rId9"/>
      <w:footerReference w:type="default" r:id="rId10"/>
      <w:pgSz w:h="15840" w:w="12240"/>
      <w:pgMar w:bottom="1152" w:footer="432" w:gutter="0" w:header="432" w:left="1152" w:right="1152" w:top="1152"/>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Complete website backup · October 14, 2026  |  Page </w:t>
    </w:r>
    <w:r/>
    <w:fldSimple w:instr="PAGE"/>
    <w:r>
      <w:t xml:space="preserve"> of </w:t>
    </w:r>
    <w:r/>
    <w:fldSimple w:instr="NUMPAGES"/>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PARTICIPATION RESEARCH ATLAS  |  PART I</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40" w:line="276" w:lineRule="auto"/>
    </w:pPr>
    <w:rPr>
      <w:rFonts w:ascii="Cambria" w:hAnsi="Cambria"/>
      <w:color w:val="263432"/>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rPr>
      <w:rFonts w:ascii="Calibri" w:hAnsi="Calibri"/>
      <w:color w:val="64716B"/>
      <w:sz w:val="18"/>
    </w:r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rPr>
      <w:rFonts w:ascii="Calibri" w:hAnsi="Calibri"/>
      <w:color w:val="64716B"/>
      <w:sz w:val="18"/>
    </w:r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pageBreakBefore/>
      <w:spacing w:after="180" w:before="340"/>
      <w:outlineLvl w:val="0"/>
    </w:pPr>
    <w:rPr>
      <w:rFonts w:ascii="Georgia" w:asciiTheme="majorHAnsi" w:cstheme="majorBidi" w:eastAsiaTheme="majorEastAsia" w:hAnsi="Georgia" w:hAnsiTheme="majorHAnsi"/>
      <w:b/>
      <w:bCs/>
      <w:color w:val="223C3A"/>
      <w:sz w:val="40"/>
      <w:szCs w:val="28"/>
    </w:rPr>
  </w:style>
  <w:style w:styleId="Heading2" w:type="paragraph">
    <w:name w:val="heading 2"/>
    <w:basedOn w:val="Normal"/>
    <w:next w:val="Normal"/>
    <w:link w:val="Heading2Char"/>
    <w:uiPriority w:val="9"/>
    <w:unhideWhenUsed/>
    <w:qFormat/>
    <w:rsid w:val="00FC693F"/>
    <w:pPr>
      <w:keepNext/>
      <w:keepLines/>
      <w:spacing w:after="180" w:before="340"/>
      <w:outlineLvl w:val="1"/>
    </w:pPr>
    <w:rPr>
      <w:rFonts w:ascii="Georgia" w:asciiTheme="majorHAnsi" w:cstheme="majorBidi" w:eastAsiaTheme="majorEastAsia" w:hAnsi="Georgia" w:hAnsiTheme="majorHAnsi"/>
      <w:b/>
      <w:bCs/>
      <w:color w:val="223C3A"/>
      <w:sz w:val="30"/>
      <w:szCs w:val="26"/>
    </w:rPr>
  </w:style>
  <w:style w:styleId="Heading3" w:type="paragraph">
    <w:name w:val="heading 3"/>
    <w:basedOn w:val="Normal"/>
    <w:next w:val="Normal"/>
    <w:link w:val="Heading3Char"/>
    <w:uiPriority w:val="9"/>
    <w:unhideWhenUsed/>
    <w:qFormat/>
    <w:rsid w:val="00FC693F"/>
    <w:pPr>
      <w:keepNext/>
      <w:keepLines/>
      <w:spacing w:after="180" w:before="340"/>
      <w:outlineLvl w:val="2"/>
    </w:pPr>
    <w:rPr>
      <w:rFonts w:ascii="Georgia" w:asciiTheme="majorHAnsi" w:cstheme="majorBidi" w:eastAsiaTheme="majorEastAsia" w:hAnsi="Georgia" w:hAnsiTheme="majorHAnsi"/>
      <w:b/>
      <w:bCs/>
      <w:color w:val="223C3A"/>
      <w:sz w:val="24"/>
    </w:rPr>
  </w:style>
  <w:style w:styleId="Heading4" w:type="paragraph">
    <w:name w:val="heading 4"/>
    <w:basedOn w:val="Normal"/>
    <w:next w:val="Normal"/>
    <w:link w:val="Heading4Char"/>
    <w:uiPriority w:val="9"/>
    <w:semiHidden/>
    <w:unhideWhenUsed/>
    <w:qFormat/>
    <w:rsid w:val="00FC693F"/>
    <w:pPr>
      <w:keepNext/>
      <w:keepLines/>
      <w:spacing w:after="180" w:before="340"/>
      <w:outlineLvl w:val="3"/>
    </w:pPr>
    <w:rPr>
      <w:rFonts w:ascii="Georgia" w:asciiTheme="majorHAnsi" w:cstheme="majorBidi" w:eastAsiaTheme="majorEastAsia" w:hAnsi="Georgia" w:hAnsiTheme="majorHAnsi"/>
      <w:b/>
      <w:bCs/>
      <w:i/>
      <w:iCs/>
      <w:color w:val="223C3A"/>
      <w:sz w:val="22"/>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180" w:before="800" w:line="240" w:lineRule="auto"/>
      <w:contextualSpacing/>
    </w:pPr>
    <w:rPr>
      <w:rFonts w:ascii="Georgia" w:asciiTheme="majorHAnsi" w:cstheme="majorBidi" w:eastAsiaTheme="majorEastAsia" w:hAnsi="Georgia" w:hAnsiTheme="majorHAnsi"/>
      <w:color w:val="223C3A"/>
      <w:spacing w:val="5"/>
      <w:kern w:val="28"/>
      <w:sz w:val="58"/>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Cambria" w:asciiTheme="majorHAnsi" w:cstheme="majorBidi" w:eastAsiaTheme="majorEastAsia" w:hAnsi="Cambria" w:hAnsiTheme="majorHAnsi"/>
      <w:i/>
      <w:iCs/>
      <w:color w:val="9D593C"/>
      <w:spacing w:val="15"/>
      <w:sz w:val="30"/>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40" w:line="276" w:lineRule="auto"/>
    </w:pPr>
    <w:rPr>
      <w:rFonts w:ascii="Cambria" w:hAnsi="Cambria"/>
      <w:color w:val="263432"/>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ourceCode" w:type="paragraph">
    <w:name w:val="Source Code"/>
    <w:rPr>
      <w:rFonts w:ascii="DejaVu Sans Mono" w:hAnsi="DejaVu Sans Mono"/>
      <w:sz w:val="16"/>
    </w:rPr>
  </w:style>
  <w:style w:customStyle="1" w:styleId="VerbatimChar" w:type="character">
    <w:name w:val="Verbatim Char"/>
    <w:rPr>
      <w:rFonts w:ascii="DejaVu Sans Mono" w:hAnsi="DejaVu Sans Mono"/>
      <w:sz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124" Type="http://schemas.openxmlformats.org/officeDocument/2006/relationships/hyperlink" Target="https://github.com/latin-ocr/monologiumetpro00ansegoog" TargetMode="External"/><Relationship Id="rId210" Type="http://schemas.openxmlformats.org/officeDocument/2006/relationships/hyperlink" Target="https://github.com/neoenanos/itinerario-de-la-mente-a-dios-Buenaventura/blob/main/md/BUENAVENTURA%20-%20Itinerario%20de%20la%20mente%20a%20Dios.md" TargetMode="External"/><Relationship Id="rId204" Type="http://schemas.openxmlformats.org/officeDocument/2006/relationships/hyperlink" Target="https://jasper-hopkins.info/" TargetMode="External"/><Relationship Id="rId245" Type="http://schemas.openxmlformats.org/officeDocument/2006/relationships/hyperlink" Target="https://participation-6o4.pages.dev/" TargetMode="External"/><Relationship Id="rId92" Type="http://schemas.openxmlformats.org/officeDocument/2006/relationships/hyperlink" Target="https://participation-6o4.pages.dev/#basis" TargetMode="External"/><Relationship Id="rId93" Type="http://schemas.openxmlformats.org/officeDocument/2006/relationships/hyperlink" Target="https://participation-6o4.pages.dev/#derivations" TargetMode="External"/><Relationship Id="rId100" Type="http://schemas.openxmlformats.org/officeDocument/2006/relationships/hyperlink" Target="https://participation-6o4.pages.dev/#history" TargetMode="External"/><Relationship Id="rId107" Type="http://schemas.openxmlformats.org/officeDocument/2006/relationships/hyperlink" Target="https://participation-6o4.pages.dev/#laboratory" TargetMode="External"/><Relationship Id="rId91" Type="http://schemas.openxmlformats.org/officeDocument/2006/relationships/hyperlink" Target="https://participation-6o4.pages.dev/#participation" TargetMode="External"/><Relationship Id="rId246" Type="http://schemas.openxmlformats.org/officeDocument/2006/relationships/hyperlink" Target="https://participation-6o4.pages.dev/beyond-participation/" TargetMode="External"/><Relationship Id="rId247" Type="http://schemas.openxmlformats.org/officeDocument/2006/relationships/hyperlink" Target="https://participation-6o4.pages.dev/real-difference/" TargetMode="External"/><Relationship Id="rId70" Type="http://schemas.openxmlformats.org/officeDocument/2006/relationships/hyperlink" Target="https://participation-6o4.pages.dev/research/ancient-patristic.md" TargetMode="External"/><Relationship Id="rId73" Type="http://schemas.openxmlformats.org/officeDocument/2006/relationships/hyperlink" Target="https://participation-6o4.pages.dev/research/aquinas-scotus-newman.md" TargetMode="External"/><Relationship Id="rId71" Type="http://schemas.openxmlformats.org/officeDocument/2006/relationships/hyperlink" Target="https://participation-6o4.pages.dev/research/eastern-metaphysics.md" TargetMode="External"/><Relationship Id="rId83" Type="http://schemas.openxmlformats.org/officeDocument/2006/relationships/hyperlink" Target="https://participation-6o4.pages.dev/research/formal-architecture.md" TargetMode="External"/><Relationship Id="rId72" Type="http://schemas.openxmlformats.org/officeDocument/2006/relationships/hyperlink" Target="https://participation-6o4.pages.dev/research/latin-exemplarism.md" TargetMode="External"/><Relationship Id="rId32" Type="http://schemas.openxmlformats.org/officeDocument/2006/relationships/hyperlink" Target="https://participation-6o4.pages.dev/research/reading-guide.md" TargetMode="External"/><Relationship Id="rId82" Type="http://schemas.openxmlformats.org/officeDocument/2006/relationships/hyperlink" Target="https://participation-6o4.pages.dev/research/report.md" TargetMode="External"/><Relationship Id="rId140" Type="http://schemas.openxmlformats.org/officeDocument/2006/relationships/hyperlink" Target="https://plato.stanford.edu/entries/analogy-medieval/" TargetMode="External"/><Relationship Id="rId215" Type="http://schemas.openxmlformats.org/officeDocument/2006/relationships/hyperlink" Target="https://plato.stanford.edu/entries/anselm/" TargetMode="External"/><Relationship Id="rId216" Type="http://schemas.openxmlformats.org/officeDocument/2006/relationships/hyperlink" Target="https://plato.stanford.edu/entries/bonaventure/" TargetMode="External"/><Relationship Id="rId233" Type="http://schemas.openxmlformats.org/officeDocument/2006/relationships/hyperlink" Target="https://plato.stanford.edu/entries/duns-scotus/" TargetMode="External"/><Relationship Id="rId138" Type="http://schemas.openxmlformats.org/officeDocument/2006/relationships/hyperlink" Target="https://plato.stanford.edu/entries/henry-ghent/" TargetMode="External"/><Relationship Id="rId136" Type="http://schemas.openxmlformats.org/officeDocument/2006/relationships/hyperlink" Target="https://plato.stanford.edu/entries/pseudo-dionysius-areopagite/" TargetMode="External"/><Relationship Id="rId202" Type="http://schemas.openxmlformats.org/officeDocument/2006/relationships/hyperlink" Target="https://plato.stanford.edu/entries/scottus-eriugena/" TargetMode="External"/><Relationship Id="rId128" Type="http://schemas.openxmlformats.org/officeDocument/2006/relationships/hyperlink" Target="https://raw.githubusercontent.com/GITenberg/An-Essay-on-the-Development-of-Christian-Doctrine_35110/master/35110-0.txt" TargetMode="External"/><Relationship Id="rId219" Type="http://schemas.openxmlformats.org/officeDocument/2006/relationships/hyperlink" Target="https://raw.githubusercontent.com/GITenberg/An-Essay-on-the-Development-of-Christian-Doctrine_35110/master/35110.txt" TargetMode="External"/><Relationship Id="rId120" Type="http://schemas.openxmlformats.org/officeDocument/2006/relationships/hyperlink" Target="https://raw.githubusercontent.com/GITenberg/Parmenides_1687/master/1687.txt" TargetMode="External"/><Relationship Id="rId112" Type="http://schemas.openxmlformats.org/officeDocument/2006/relationships/hyperlink" Target="https://raw.githubusercontent.com/GITenberg/Plotinos--Complete-Works-v.-1In-Chronological-Order-Grouped-in-Four-Periods_42930/master/42930-h/42930-h.htm" TargetMode="External"/><Relationship Id="rId130" Type="http://schemas.openxmlformats.org/officeDocument/2006/relationships/hyperlink" Target="https://raw.githubusercontent.com/GITenberg/St-John-Damascene-on-Holy-Images-0x3c00x3c10x3bf0x3c2-0x3c40x3bf0x3c50x3c2-0x3b40x3b90x3b10x3__49917/master/49917-8.txt" TargetMode="External"/><Relationship Id="rId126" Type="http://schemas.openxmlformats.org/officeDocument/2006/relationships/hyperlink" Target="https://raw.githubusercontent.com/GITenberg/Summa-Theologica-Part-I--Prima-Pars-From-the-Complete-American-Edition_17611/master/17611.txt" TargetMode="External"/><Relationship Id="rId122" Type="http://schemas.openxmlformats.org/officeDocument/2006/relationships/hyperlink" Target="https://raw.githubusercontent.com/GITenberg/The-City-of-God-Volume-I_45304/master/45304-h/45304-h.htm" TargetMode="External"/><Relationship Id="rId110" Type="http://schemas.openxmlformats.org/officeDocument/2006/relationships/hyperlink" Target="https://raw.githubusercontent.com/PerseusDL/canonical-greekLit/master/data/tlg0086/tlg025/tlg0086.tlg025.perseus-eng2.xml" TargetMode="External"/><Relationship Id="rId116" Type="http://schemas.openxmlformats.org/officeDocument/2006/relationships/hyperlink" Target="https://raw.githubusercontent.com/calfa-co/Patrologia-Graeca/5895ab908dd4cac5ee06cfc0e36f2ef77723e143/PG003/PG003_text.txt" TargetMode="External"/><Relationship Id="rId197" Type="http://schemas.openxmlformats.org/officeDocument/2006/relationships/hyperlink" Target="https://raw.githubusercontent.com/calfa-co/Patrologia-Graeca/5895ab908dd4cac5ee06cfc0e36f2ef77723e143/README.md" TargetMode="External"/><Relationship Id="rId132" Type="http://schemas.openxmlformats.org/officeDocument/2006/relationships/hyperlink" Target="https://raw.githubusercontent.com/md-mq/philo2vec/0d2351d43723f0d4a1fa662557626adb31a822ad/data/data.zip" TargetMode="External"/><Relationship Id="rId196" Type="http://schemas.openxmlformats.org/officeDocument/2006/relationships/hyperlink" Target="https://raw.githubusercontent.com/md-mq/philo2vec/master/README.md" TargetMode="External"/><Relationship Id="rId118" Type="http://schemas.openxmlformats.org/officeDocument/2006/relationships/hyperlink" Target="https://raw.githubusercontent.com/robertvsiii/maximus-confessor/5ef8d8b33bb7e16576f4b5445db7ee07541aff9f/texts/maximus/maximus_confessor.ambigua_iohannem.tess" TargetMode="External"/><Relationship Id="rId114" Type="http://schemas.openxmlformats.org/officeDocument/2006/relationships/hyperlink" Target="https://raw.githubusercontent.com/standardebooks/gregory-of-nyssa_on-the-making-of-man_william-moore_henry-austin-wilson/master/src/epub/text/chapter-16.xhtml" TargetMode="External"/><Relationship Id="rId199" Type="http://schemas.openxmlformats.org/officeDocument/2006/relationships/hyperlink" Target="https://www.ccel.org/ccel/rolt/dionysius.html" TargetMode="External"/><Relationship Id="rId235" Type="http://schemas.openxmlformats.org/officeDocument/2006/relationships/hyperlink" Target="https://www.eerdmans.com/9780802868596/analogia-entis/" TargetMode="External"/><Relationship Id="rId134" Type="http://schemas.openxmlformats.org/officeDocument/2006/relationships/hyperlink" Target="https://www.newadvent.org/fathers/" TargetMode="External"/><Relationship Id="rId206" Type="http://schemas.openxmlformats.org/officeDocument/2006/relationships/hyperlink" Target="https://www.newadvent.org/fathers/33041.htm" TargetMode="External"/><Relationship Id="rId223" Type="http://schemas.openxmlformats.org/officeDocument/2006/relationships/hyperlink" Target="https://www.newadvent.org/summa/1003.htm" TargetMode="External"/><Relationship Id="rId224" Type="http://schemas.openxmlformats.org/officeDocument/2006/relationships/hyperlink" Target="https://www.newadvent.org/summa/1004.htm" TargetMode="External"/><Relationship Id="rId225" Type="http://schemas.openxmlformats.org/officeDocument/2006/relationships/hyperlink" Target="https://www.newadvent.org/summa/1007.htm" TargetMode="External"/><Relationship Id="rId226" Type="http://schemas.openxmlformats.org/officeDocument/2006/relationships/hyperlink" Target="https://www.newadvent.org/summa/1008.htm" TargetMode="External"/><Relationship Id="rId228" Type="http://schemas.openxmlformats.org/officeDocument/2006/relationships/hyperlink" Target="https://www.newadvent.org/summa/1013.htm" TargetMode="External"/><Relationship Id="rId227" Type="http://schemas.openxmlformats.org/officeDocument/2006/relationships/hyperlink" Target="https://www.newadvent.org/summa/1015.htm" TargetMode="External"/><Relationship Id="rId231" Type="http://schemas.openxmlformats.org/officeDocument/2006/relationships/hyperlink" Target="https://www.newadvent.org/summa/1019.htm" TargetMode="External"/><Relationship Id="rId222" Type="http://schemas.openxmlformats.org/officeDocument/2006/relationships/hyperlink" Target="https://www.newadvent.org/summa/1044.htm" TargetMode="External"/><Relationship Id="rId229" Type="http://schemas.openxmlformats.org/officeDocument/2006/relationships/hyperlink" Target="https://www.newadvent.org/summa/1045.htm" TargetMode="External"/><Relationship Id="rId230" Type="http://schemas.openxmlformats.org/officeDocument/2006/relationships/hyperlink" Target="https://www.newadvent.org/summa/1105.htm" TargetMode="External"/><Relationship Id="rId220" Type="http://schemas.openxmlformats.org/officeDocument/2006/relationships/hyperlink" Target="https://www.newmanreader.org/works/development/chapter5.html"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124" Type="http://schemas.openxmlformats.org/officeDocument/2006/relationships/hyperlink" Target="https://github.com/latin-ocr/monologiumetpro00ansegoog" TargetMode="External"/><Relationship Id="rId210" Type="http://schemas.openxmlformats.org/officeDocument/2006/relationships/hyperlink" Target="https://github.com/neoenanos/itinerario-de-la-mente-a-dios-Buenaventura/blob/main/md/BUENAVENTURA%20-%20Itinerario%20de%20la%20mente%20a%20Dios.md" TargetMode="External"/><Relationship Id="rId204" Type="http://schemas.openxmlformats.org/officeDocument/2006/relationships/hyperlink" Target="https://jasper-hopkins.info/" TargetMode="External"/><Relationship Id="rId245" Type="http://schemas.openxmlformats.org/officeDocument/2006/relationships/hyperlink" Target="https://participation-6o4.pages.dev/" TargetMode="External"/><Relationship Id="rId92" Type="http://schemas.openxmlformats.org/officeDocument/2006/relationships/hyperlink" Target="https://participation-6o4.pages.dev/#basis" TargetMode="External"/><Relationship Id="rId93" Type="http://schemas.openxmlformats.org/officeDocument/2006/relationships/hyperlink" Target="https://participation-6o4.pages.dev/#derivations" TargetMode="External"/><Relationship Id="rId100" Type="http://schemas.openxmlformats.org/officeDocument/2006/relationships/hyperlink" Target="https://participation-6o4.pages.dev/#history" TargetMode="External"/><Relationship Id="rId107" Type="http://schemas.openxmlformats.org/officeDocument/2006/relationships/hyperlink" Target="https://participation-6o4.pages.dev/#laboratory" TargetMode="External"/><Relationship Id="rId91" Type="http://schemas.openxmlformats.org/officeDocument/2006/relationships/hyperlink" Target="https://participation-6o4.pages.dev/#participation" TargetMode="External"/><Relationship Id="rId246" Type="http://schemas.openxmlformats.org/officeDocument/2006/relationships/hyperlink" Target="https://participation-6o4.pages.dev/beyond-participation/" TargetMode="External"/><Relationship Id="rId247" Type="http://schemas.openxmlformats.org/officeDocument/2006/relationships/hyperlink" Target="https://participation-6o4.pages.dev/real-difference/" TargetMode="External"/><Relationship Id="rId70" Type="http://schemas.openxmlformats.org/officeDocument/2006/relationships/hyperlink" Target="https://participation-6o4.pages.dev/research/ancient-patristic.md" TargetMode="External"/><Relationship Id="rId73" Type="http://schemas.openxmlformats.org/officeDocument/2006/relationships/hyperlink" Target="https://participation-6o4.pages.dev/research/aquinas-scotus-newman.md" TargetMode="External"/><Relationship Id="rId71" Type="http://schemas.openxmlformats.org/officeDocument/2006/relationships/hyperlink" Target="https://participation-6o4.pages.dev/research/eastern-metaphysics.md" TargetMode="External"/><Relationship Id="rId83" Type="http://schemas.openxmlformats.org/officeDocument/2006/relationships/hyperlink" Target="https://participation-6o4.pages.dev/research/formal-architecture.md" TargetMode="External"/><Relationship Id="rId72" Type="http://schemas.openxmlformats.org/officeDocument/2006/relationships/hyperlink" Target="https://participation-6o4.pages.dev/research/latin-exemplarism.md" TargetMode="External"/><Relationship Id="rId32" Type="http://schemas.openxmlformats.org/officeDocument/2006/relationships/hyperlink" Target="https://participation-6o4.pages.dev/research/reading-guide.md" TargetMode="External"/><Relationship Id="rId82" Type="http://schemas.openxmlformats.org/officeDocument/2006/relationships/hyperlink" Target="https://participation-6o4.pages.dev/research/report.md" TargetMode="External"/><Relationship Id="rId140" Type="http://schemas.openxmlformats.org/officeDocument/2006/relationships/hyperlink" Target="https://plato.stanford.edu/entries/analogy-medieval/" TargetMode="External"/><Relationship Id="rId215" Type="http://schemas.openxmlformats.org/officeDocument/2006/relationships/hyperlink" Target="https://plato.stanford.edu/entries/anselm/" TargetMode="External"/><Relationship Id="rId216" Type="http://schemas.openxmlformats.org/officeDocument/2006/relationships/hyperlink" Target="https://plato.stanford.edu/entries/bonaventure/" TargetMode="External"/><Relationship Id="rId233" Type="http://schemas.openxmlformats.org/officeDocument/2006/relationships/hyperlink" Target="https://plato.stanford.edu/entries/duns-scotus/" TargetMode="External"/><Relationship Id="rId138" Type="http://schemas.openxmlformats.org/officeDocument/2006/relationships/hyperlink" Target="https://plato.stanford.edu/entries/henry-ghent/" TargetMode="External"/><Relationship Id="rId136" Type="http://schemas.openxmlformats.org/officeDocument/2006/relationships/hyperlink" Target="https://plato.stanford.edu/entries/pseudo-dionysius-areopagite/" TargetMode="External"/><Relationship Id="rId202" Type="http://schemas.openxmlformats.org/officeDocument/2006/relationships/hyperlink" Target="https://plato.stanford.edu/entries/scottus-eriugena/" TargetMode="External"/><Relationship Id="rId128" Type="http://schemas.openxmlformats.org/officeDocument/2006/relationships/hyperlink" Target="https://raw.githubusercontent.com/GITenberg/An-Essay-on-the-Development-of-Christian-Doctrine_35110/master/35110-0.txt" TargetMode="External"/><Relationship Id="rId219" Type="http://schemas.openxmlformats.org/officeDocument/2006/relationships/hyperlink" Target="https://raw.githubusercontent.com/GITenberg/An-Essay-on-the-Development-of-Christian-Doctrine_35110/master/35110.txt" TargetMode="External"/><Relationship Id="rId120" Type="http://schemas.openxmlformats.org/officeDocument/2006/relationships/hyperlink" Target="https://raw.githubusercontent.com/GITenberg/Parmenides_1687/master/1687.txt" TargetMode="External"/><Relationship Id="rId112" Type="http://schemas.openxmlformats.org/officeDocument/2006/relationships/hyperlink" Target="https://raw.githubusercontent.com/GITenberg/Plotinos--Complete-Works-v.-1In-Chronological-Order-Grouped-in-Four-Periods_42930/master/42930-h/42930-h.htm" TargetMode="External"/><Relationship Id="rId130" Type="http://schemas.openxmlformats.org/officeDocument/2006/relationships/hyperlink" Target="https://raw.githubusercontent.com/GITenberg/St-John-Damascene-on-Holy-Images-0x3c00x3c10x3bf0x3c2-0x3c40x3bf0x3c50x3c2-0x3b40x3b90x3b10x3__49917/master/49917-8.txt" TargetMode="External"/><Relationship Id="rId126" Type="http://schemas.openxmlformats.org/officeDocument/2006/relationships/hyperlink" Target="https://raw.githubusercontent.com/GITenberg/Summa-Theologica-Part-I--Prima-Pars-From-the-Complete-American-Edition_17611/master/17611.txt" TargetMode="External"/><Relationship Id="rId122" Type="http://schemas.openxmlformats.org/officeDocument/2006/relationships/hyperlink" Target="https://raw.githubusercontent.com/GITenberg/The-City-of-God-Volume-I_45304/master/45304-h/45304-h.htm" TargetMode="External"/><Relationship Id="rId110" Type="http://schemas.openxmlformats.org/officeDocument/2006/relationships/hyperlink" Target="https://raw.githubusercontent.com/PerseusDL/canonical-greekLit/master/data/tlg0086/tlg025/tlg0086.tlg025.perseus-eng2.xml" TargetMode="External"/><Relationship Id="rId116" Type="http://schemas.openxmlformats.org/officeDocument/2006/relationships/hyperlink" Target="https://raw.githubusercontent.com/calfa-co/Patrologia-Graeca/5895ab908dd4cac5ee06cfc0e36f2ef77723e143/PG003/PG003_text.txt" TargetMode="External"/><Relationship Id="rId197" Type="http://schemas.openxmlformats.org/officeDocument/2006/relationships/hyperlink" Target="https://raw.githubusercontent.com/calfa-co/Patrologia-Graeca/5895ab908dd4cac5ee06cfc0e36f2ef77723e143/README.md" TargetMode="External"/><Relationship Id="rId132" Type="http://schemas.openxmlformats.org/officeDocument/2006/relationships/hyperlink" Target="https://raw.githubusercontent.com/md-mq/philo2vec/0d2351d43723f0d4a1fa662557626adb31a822ad/data/data.zip" TargetMode="External"/><Relationship Id="rId196" Type="http://schemas.openxmlformats.org/officeDocument/2006/relationships/hyperlink" Target="https://raw.githubusercontent.com/md-mq/philo2vec/master/README.md" TargetMode="External"/><Relationship Id="rId118" Type="http://schemas.openxmlformats.org/officeDocument/2006/relationships/hyperlink" Target="https://raw.githubusercontent.com/robertvsiii/maximus-confessor/5ef8d8b33bb7e16576f4b5445db7ee07541aff9f/texts/maximus/maximus_confessor.ambigua_iohannem.tess" TargetMode="External"/><Relationship Id="rId114" Type="http://schemas.openxmlformats.org/officeDocument/2006/relationships/hyperlink" Target="https://raw.githubusercontent.com/standardebooks/gregory-of-nyssa_on-the-making-of-man_william-moore_henry-austin-wilson/master/src/epub/text/chapter-16.xhtml" TargetMode="External"/><Relationship Id="rId199" Type="http://schemas.openxmlformats.org/officeDocument/2006/relationships/hyperlink" Target="https://www.ccel.org/ccel/rolt/dionysius.html" TargetMode="External"/><Relationship Id="rId235" Type="http://schemas.openxmlformats.org/officeDocument/2006/relationships/hyperlink" Target="https://www.eerdmans.com/9780802868596/analogia-entis/" TargetMode="External"/><Relationship Id="rId134" Type="http://schemas.openxmlformats.org/officeDocument/2006/relationships/hyperlink" Target="https://www.newadvent.org/fathers/" TargetMode="External"/><Relationship Id="rId206" Type="http://schemas.openxmlformats.org/officeDocument/2006/relationships/hyperlink" Target="https://www.newadvent.org/fathers/33041.htm" TargetMode="External"/><Relationship Id="rId223" Type="http://schemas.openxmlformats.org/officeDocument/2006/relationships/hyperlink" Target="https://www.newadvent.org/summa/1003.htm" TargetMode="External"/><Relationship Id="rId224" Type="http://schemas.openxmlformats.org/officeDocument/2006/relationships/hyperlink" Target="https://www.newadvent.org/summa/1004.htm" TargetMode="External"/><Relationship Id="rId225" Type="http://schemas.openxmlformats.org/officeDocument/2006/relationships/hyperlink" Target="https://www.newadvent.org/summa/1007.htm" TargetMode="External"/><Relationship Id="rId226" Type="http://schemas.openxmlformats.org/officeDocument/2006/relationships/hyperlink" Target="https://www.newadvent.org/summa/1008.htm" TargetMode="External"/><Relationship Id="rId228" Type="http://schemas.openxmlformats.org/officeDocument/2006/relationships/hyperlink" Target="https://www.newadvent.org/summa/1013.htm" TargetMode="External"/><Relationship Id="rId227" Type="http://schemas.openxmlformats.org/officeDocument/2006/relationships/hyperlink" Target="https://www.newadvent.org/summa/1015.htm" TargetMode="External"/><Relationship Id="rId231" Type="http://schemas.openxmlformats.org/officeDocument/2006/relationships/hyperlink" Target="https://www.newadvent.org/summa/1019.htm" TargetMode="External"/><Relationship Id="rId222" Type="http://schemas.openxmlformats.org/officeDocument/2006/relationships/hyperlink" Target="https://www.newadvent.org/summa/1044.htm" TargetMode="External"/><Relationship Id="rId229" Type="http://schemas.openxmlformats.org/officeDocument/2006/relationships/hyperlink" Target="https://www.newadvent.org/summa/1045.htm" TargetMode="External"/><Relationship Id="rId230" Type="http://schemas.openxmlformats.org/officeDocument/2006/relationships/hyperlink" Target="https://www.newadvent.org/summa/1105.htm" TargetMode="External"/><Relationship Id="rId220" Type="http://schemas.openxmlformats.org/officeDocument/2006/relationships/hyperlink" Target="https://www.newmanreader.org/works/development/chapter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Participation: The Minimal Generative Grammar of Participation</dc:title>
  <dc:creator>Participation research atlas</dc:creator>
  <dc:language>en-US</dc:language>
  <cp:keywords>participation; divine agency; simplicity; free creation; complete backup</cp:keywords>
  <dcterms:created xsi:type="dcterms:W3CDTF">2026-10-14T14:15:51Z</dcterms:created>
  <dcterms:modified xsi:type="dcterms:W3CDTF">2026-10-14T14:15:51Z</dcterms:modified>
  <dc:subject>Complete backup of the website, interactive examples, and supporting research</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14, 2026</vt:lpwstr>
  </property>
  <property fmtid="{D5CDD505-2E9C-101B-9397-08002B2CF9AE}" pid="3" name="subtitle">
    <vt:lpwstr>The Minimal Generative Grammar of Participation | Complete website backup</vt:lpwstr>
  </property>
</Properties>
</file>